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312" w:after="156"/>
        <w:jc w:val="both"/>
        <w:rPr>
          <w:sz w:val="36"/>
          <w:szCs w:val="36"/>
        </w:rPr>
      </w:pPr>
      <w:bookmarkStart w:id="0" w:name="_GoBack"/>
      <w:bookmarkEnd w:id="0"/>
      <w:r>
        <w:rPr>
          <w:rFonts w:hint="eastAsia"/>
          <w:sz w:val="36"/>
          <w:szCs w:val="36"/>
        </w:rPr>
        <w:t>资源利用与植物保护专业</w:t>
      </w:r>
      <w:r>
        <w:rPr>
          <w:rFonts w:hint="eastAsia"/>
          <w:sz w:val="36"/>
          <w:szCs w:val="36"/>
          <w:lang w:eastAsia="zh-CN"/>
        </w:rPr>
        <w:t>（</w:t>
      </w:r>
      <w:r>
        <w:rPr>
          <w:rFonts w:hint="eastAsia"/>
          <w:sz w:val="36"/>
          <w:szCs w:val="36"/>
          <w:lang w:val="en-US" w:eastAsia="zh-CN"/>
        </w:rPr>
        <w:t>农业硕士）</w:t>
      </w:r>
      <w:r>
        <w:rPr>
          <w:rFonts w:hint="eastAsia"/>
          <w:sz w:val="36"/>
          <w:szCs w:val="36"/>
        </w:rPr>
        <w:t>培养方案课程设置与学分分配表</w:t>
      </w:r>
    </w:p>
    <w:tbl>
      <w:tblPr>
        <w:tblStyle w:val="9"/>
        <w:tblW w:w="112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3"/>
        <w:gridCol w:w="852"/>
        <w:gridCol w:w="1200"/>
        <w:gridCol w:w="3119"/>
        <w:gridCol w:w="708"/>
        <w:gridCol w:w="709"/>
        <w:gridCol w:w="709"/>
        <w:gridCol w:w="965"/>
        <w:gridCol w:w="699"/>
        <w:gridCol w:w="836"/>
        <w:gridCol w:w="7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课程类别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105" w:leftChars="5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模块</w:t>
            </w:r>
          </w:p>
          <w:p>
            <w:pPr>
              <w:ind w:left="105" w:leftChars="50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名称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</w:t>
            </w:r>
            <w:r>
              <w:rPr>
                <w:rFonts w:ascii="宋体" w:hAnsi="宋体" w:cs="宋体"/>
                <w:sz w:val="18"/>
                <w:szCs w:val="18"/>
              </w:rPr>
              <w:t>编号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课程名称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学时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学分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授课</w:t>
            </w:r>
          </w:p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学期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任课</w:t>
            </w:r>
          </w:p>
          <w:p>
            <w:pPr>
              <w:spacing w:line="260" w:lineRule="exact"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老师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授课方式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选课要求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开课院系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  修  课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公共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90031201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新时代中国特色社会主义理论与实践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公共必修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90031101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第一外国语（英语）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宋体" w:hAnsi="宋体" w:cs="宋体"/>
                <w:sz w:val="18"/>
                <w:szCs w:val="18"/>
              </w:rPr>
              <w:t>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90031203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自然辩证法概论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90" w:firstLineChars="50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学术规范与论文写作指导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顾文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190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90" w:firstLineChars="5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05131024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现代农业创新与乡村振兴战略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许寒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专业基础课程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高级试验设计与生物统计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李玉新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必修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05131030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农业资源及有害生物调查与评价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李永红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植物有害生物综合防控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徐效华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05131032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农化产品高效利用与管理（案例）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Arial" w:hAnsi="Arial" w:cs="Arial"/>
                <w:kern w:val="0"/>
                <w:sz w:val="18"/>
                <w:szCs w:val="18"/>
              </w:rPr>
              <w:t>李庆山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农产品安全生产技术与应用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胡方中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农业面源污染与生态治理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kern w:val="0"/>
                <w:sz w:val="18"/>
                <w:szCs w:val="18"/>
              </w:rPr>
              <w:t>张智超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通识与实践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通识教育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渠瑾等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05131027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实践研究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102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实践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修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课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有机合成化学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王忠文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至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少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选</w:t>
            </w:r>
          </w:p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3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门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05122082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</w:rPr>
              <w:t>高等化学概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渠瑾、许秀芳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05122083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植物保护学概论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李永红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05122053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金属有机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崔春明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物理有机化学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化学生物学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席真、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文欣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有机立体化学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朱守非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05122022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绿色化学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ahoma" w:hAnsi="Tahoma"/>
                <w:sz w:val="18"/>
                <w:szCs w:val="18"/>
              </w:rPr>
              <w:t>何良年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超分子化学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张瀛溟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05122058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 w:ascii="Tahoma" w:hAnsi="Tahoma"/>
                <w:sz w:val="18"/>
                <w:szCs w:val="18"/>
              </w:rPr>
              <w:t>许秀芳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05122067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Structural analysis of organic substances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王志宏、孔祥蕾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高等有机化学1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郑健禺、张弛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05121026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高等有机化学2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51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黄有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05121027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有机结构分析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孔祥蕾、王志宏、宋海斌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05121024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科技论文写作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叶萌春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05132010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新型肥料研制与应用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苗志伟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05132011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昆虫学研究方法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李玉新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05132008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杂草防控技术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李永红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05132035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现代农药化学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邹小毛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85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05132134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农药生物学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范志金</w:t>
            </w:r>
          </w:p>
        </w:tc>
        <w:tc>
          <w:tcPr>
            <w:tcW w:w="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讲授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051</w:t>
            </w:r>
          </w:p>
        </w:tc>
      </w:tr>
    </w:tbl>
    <w:p/>
    <w:p>
      <w:pPr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备注：1. 总学分包含必修课</w:t>
      </w:r>
      <w:r>
        <w:rPr>
          <w:rFonts w:ascii="宋体" w:hAnsi="宋体"/>
          <w:szCs w:val="21"/>
        </w:rPr>
        <w:t>、选修课、必修环节</w:t>
      </w:r>
      <w:r>
        <w:rPr>
          <w:rFonts w:hint="eastAsia" w:ascii="宋体" w:hAnsi="宋体"/>
          <w:szCs w:val="21"/>
        </w:rPr>
        <w:t>学分，总学分不少于33学分。</w:t>
      </w:r>
    </w:p>
    <w:p>
      <w:pPr>
        <w:ind w:left="840" w:leftChars="350" w:hanging="105" w:hanging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《实践研究》：实践时间不少于一年。</w:t>
      </w:r>
    </w:p>
    <w:p>
      <w:pPr>
        <w:spacing w:line="400" w:lineRule="exact"/>
        <w:ind w:left="836" w:leftChars="348" w:hanging="105" w:hanging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2.体育课为选修课，学分不计算在研究生专业培养方案规定的总学分中。每人限选一门。</w:t>
      </w:r>
    </w:p>
    <w:p>
      <w:pPr>
        <w:spacing w:line="400" w:lineRule="exact"/>
        <w:ind w:left="836" w:leftChars="348" w:hanging="105" w:hangingChars="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3.</w:t>
      </w:r>
      <w:r>
        <w:rPr>
          <w:rFonts w:hint="eastAsia" w:ascii="宋体" w:hAnsi="宋体"/>
          <w:szCs w:val="21"/>
          <w:lang w:val="en-US" w:eastAsia="zh-CN"/>
        </w:rPr>
        <w:t>研究生</w:t>
      </w:r>
      <w:r>
        <w:rPr>
          <w:rFonts w:hint="eastAsia" w:ascii="宋体" w:hAnsi="宋体"/>
          <w:szCs w:val="21"/>
          <w:highlight w:val="yellow"/>
          <w:lang w:val="en-US" w:eastAsia="zh-CN"/>
        </w:rPr>
        <w:t>必须先在导师指导下</w:t>
      </w:r>
      <w:r>
        <w:rPr>
          <w:rFonts w:hint="eastAsia" w:ascii="宋体" w:hAnsi="宋体"/>
          <w:szCs w:val="21"/>
          <w:lang w:val="en-US" w:eastAsia="zh-CN"/>
        </w:rPr>
        <w:t>制定个人计划，然后进入选课系统填写个人计划，</w:t>
      </w:r>
      <w:r>
        <w:rPr>
          <w:rFonts w:hint="eastAsia"/>
        </w:rPr>
        <w:t>个人计划制定后无需导师确认，我们研究生办统一给同学们审核</w:t>
      </w:r>
      <w:r>
        <w:rPr>
          <w:rFonts w:hint="eastAsia"/>
          <w:lang w:eastAsia="zh-CN"/>
        </w:rPr>
        <w:t>，</w:t>
      </w:r>
      <w:r>
        <w:rPr>
          <w:rFonts w:hint="eastAsia"/>
        </w:rPr>
        <w:t>审核后方可进行选课</w:t>
      </w:r>
      <w:r>
        <w:rPr>
          <w:rFonts w:hint="eastAsia"/>
          <w:lang w:eastAsia="zh-CN"/>
        </w:rPr>
        <w:t>，</w:t>
      </w:r>
      <w:r>
        <w:rPr>
          <w:rFonts w:hint="eastAsia" w:ascii="宋体" w:hAnsi="宋体"/>
          <w:szCs w:val="21"/>
        </w:rPr>
        <w:t>详见研究生教育综合管理系统（学生操作手册），，</w:t>
      </w:r>
      <w:r>
        <w:rPr>
          <w:rFonts w:hint="eastAsia" w:ascii="宋体" w:hAnsi="宋体"/>
          <w:szCs w:val="21"/>
          <w:highlight w:val="yellow"/>
        </w:rPr>
        <w:t>选课</w:t>
      </w:r>
      <w:r>
        <w:rPr>
          <w:rFonts w:hint="eastAsia" w:ascii="宋体" w:hAnsi="宋体"/>
          <w:szCs w:val="21"/>
          <w:highlight w:val="yellow"/>
          <w:lang w:val="en-US" w:eastAsia="zh-CN"/>
        </w:rPr>
        <w:t>结束</w:t>
      </w:r>
      <w:r>
        <w:rPr>
          <w:rFonts w:hint="eastAsia" w:ascii="宋体" w:hAnsi="宋体"/>
          <w:szCs w:val="21"/>
          <w:highlight w:val="yellow"/>
        </w:rPr>
        <w:t>后打印个人计划表须有导师签字请于10号30号前交于研究生办公室413郑老师.</w:t>
      </w:r>
      <w:r>
        <w:rPr>
          <w:rFonts w:ascii="宋体" w:hAnsi="宋体"/>
          <w:szCs w:val="21"/>
        </w:rPr>
        <w:t xml:space="preserve"> </w:t>
      </w:r>
    </w:p>
    <w:p>
      <w:pPr>
        <w:widowControl/>
        <w:spacing w:before="100" w:beforeAutospacing="1" w:after="100" w:afterAutospacing="1" w:line="226" w:lineRule="atLeast"/>
        <w:ind w:firstLine="632" w:firstLineChars="300"/>
        <w:jc w:val="left"/>
        <w:rPr>
          <w:rFonts w:hint="eastAsia" w:ascii="宋体" w:hAnsi="宋体" w:eastAsiaTheme="minorEastAsia"/>
          <w:szCs w:val="21"/>
          <w:lang w:val="en-US" w:eastAsia="zh-CN"/>
        </w:rPr>
      </w:pPr>
      <w:r>
        <w:rPr>
          <w:rFonts w:hint="eastAsia" w:ascii="宋体" w:hAnsi="宋体"/>
          <w:b/>
          <w:szCs w:val="21"/>
          <w:lang w:val="en-US" w:eastAsia="zh-CN"/>
        </w:rPr>
        <w:t>4.</w:t>
      </w:r>
      <w:r>
        <w:rPr>
          <w:rFonts w:ascii="Verdana" w:hAnsi="Verdana" w:eastAsia="宋体" w:cs="宋体"/>
          <w:kern w:val="0"/>
          <w:sz w:val="28"/>
          <w:szCs w:val="28"/>
        </w:rPr>
        <w:t xml:space="preserve"> </w:t>
      </w:r>
      <w:r>
        <w:rPr>
          <w:rFonts w:hint="eastAsia" w:ascii="Verdana" w:hAnsi="Verdana" w:eastAsia="宋体" w:cs="宋体"/>
          <w:kern w:val="0"/>
          <w:sz w:val="15"/>
          <w:szCs w:val="15"/>
          <w:highlight w:val="none"/>
        </w:rPr>
        <w:t xml:space="preserve"> </w:t>
      </w:r>
      <w:r>
        <w:rPr>
          <w:rFonts w:ascii="Verdana" w:hAnsi="Verdana" w:eastAsia="宋体" w:cs="宋体"/>
          <w:kern w:val="0"/>
          <w:sz w:val="24"/>
          <w:szCs w:val="24"/>
          <w:highlight w:val="lightGray"/>
        </w:rPr>
        <w:t>选课时间：</w:t>
      </w:r>
      <w:r>
        <w:rPr>
          <w:rFonts w:hint="eastAsia" w:ascii="宋体" w:hAnsi="宋体" w:eastAsia="宋体" w:cs="宋体"/>
          <w:kern w:val="2"/>
          <w:sz w:val="24"/>
          <w:szCs w:val="24"/>
          <w:highlight w:val="lightGray"/>
          <w:lang w:val="en-US" w:eastAsia="zh-CN" w:bidi="ar"/>
        </w:rPr>
        <w:t>8月26日至9月25日开放 ，之后没有补退选，选课网站</w:t>
      </w:r>
    </w:p>
    <w:p>
      <w:pPr>
        <w:widowControl/>
        <w:spacing w:before="100" w:beforeAutospacing="1" w:after="100" w:afterAutospacing="1" w:line="226" w:lineRule="atLeast"/>
        <w:ind w:left="945" w:leftChars="400" w:hanging="105" w:hangingChars="50"/>
        <w:jc w:val="left"/>
        <w:rPr>
          <w:rFonts w:hint="eastAsia" w:ascii="宋体" w:hAnsi="宋体"/>
          <w:szCs w:val="21"/>
        </w:rPr>
      </w:pPr>
      <w:r>
        <w:fldChar w:fldCharType="begin"/>
      </w:r>
      <w:r>
        <w:instrText xml:space="preserve"> HYPERLINK "http://yjs.nankai.edu.cn/" </w:instrText>
      </w:r>
      <w:r>
        <w:fldChar w:fldCharType="separate"/>
      </w:r>
      <w:r>
        <w:rPr>
          <w:rStyle w:val="11"/>
          <w:rFonts w:hint="eastAsia" w:ascii="宋体" w:hAnsi="宋体"/>
          <w:szCs w:val="21"/>
        </w:rPr>
        <w:t>http</w:t>
      </w:r>
      <w:r>
        <w:rPr>
          <w:rStyle w:val="11"/>
          <w:rFonts w:hint="eastAsia" w:ascii="宋体" w:hAnsi="宋体"/>
          <w:szCs w:val="21"/>
          <w:lang w:val="en-US" w:eastAsia="zh-CN"/>
        </w:rPr>
        <w:t>s</w:t>
      </w:r>
      <w:r>
        <w:rPr>
          <w:rStyle w:val="11"/>
          <w:rFonts w:hint="eastAsia" w:ascii="宋体" w:hAnsi="宋体"/>
          <w:szCs w:val="21"/>
        </w:rPr>
        <w:t>://yjs.nankai.edu.cn/</w:t>
      </w:r>
      <w:r>
        <w:rPr>
          <w:rStyle w:val="11"/>
          <w:rFonts w:hint="eastAsia" w:ascii="宋体" w:hAnsi="宋体"/>
          <w:szCs w:val="21"/>
        </w:rPr>
        <w:fldChar w:fldCharType="end"/>
      </w:r>
      <w:r>
        <w:rPr>
          <w:rFonts w:hint="eastAsia" w:ascii="宋体" w:hAnsi="宋体"/>
          <w:szCs w:val="21"/>
        </w:rPr>
        <w:t>（</w:t>
      </w:r>
      <w:r>
        <w:rPr>
          <w:rFonts w:hint="eastAsia" w:ascii="宋体" w:hAnsi="宋体"/>
          <w:szCs w:val="21"/>
          <w:lang w:val="en-US" w:eastAsia="zh-CN"/>
        </w:rPr>
        <w:t xml:space="preserve"> </w:t>
      </w:r>
      <w:r>
        <w:rPr>
          <w:rFonts w:hint="eastAsia" w:ascii="宋体" w:hAnsi="宋体"/>
          <w:szCs w:val="21"/>
        </w:rPr>
        <w:t>推荐谷歌浏览器打开新系统）完成新生信息核对及本人培养方案的选择后方能正常选课，其中本人手机号为必填项。</w:t>
      </w:r>
    </w:p>
    <w:p>
      <w:pPr>
        <w:widowControl/>
        <w:spacing w:before="100" w:beforeAutospacing="1" w:after="100" w:afterAutospacing="1" w:line="226" w:lineRule="atLeast"/>
        <w:ind w:left="840" w:leftChars="400" w:firstLine="105" w:firstLineChars="50"/>
        <w:jc w:val="left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另外，不在学校的同学需要在南开大学网站下载VPN:https://www.nankai.edu.cn/VPN/list.htm,登录VPN后 进入网站：</w:t>
      </w:r>
      <w:r>
        <w:rPr>
          <w:rFonts w:hint="eastAsia" w:ascii="宋体" w:hAnsi="宋体"/>
          <w:szCs w:val="21"/>
          <w:lang w:val="en-US" w:eastAsia="zh-CN"/>
        </w:rPr>
        <w:fldChar w:fldCharType="begin"/>
      </w:r>
      <w:r>
        <w:rPr>
          <w:rFonts w:hint="eastAsia" w:ascii="宋体" w:hAnsi="宋体"/>
          <w:szCs w:val="21"/>
          <w:lang w:val="en-US" w:eastAsia="zh-CN"/>
        </w:rPr>
        <w:instrText xml:space="preserve"> HYPERLINK "https://webvpn.nankai.edu.cn/" </w:instrText>
      </w:r>
      <w:r>
        <w:rPr>
          <w:rFonts w:hint="eastAsia" w:ascii="宋体" w:hAnsi="宋体"/>
          <w:szCs w:val="21"/>
          <w:lang w:val="en-US" w:eastAsia="zh-CN"/>
        </w:rPr>
        <w:fldChar w:fldCharType="separate"/>
      </w:r>
      <w:r>
        <w:rPr>
          <w:rStyle w:val="11"/>
          <w:rFonts w:hint="eastAsia" w:ascii="宋体" w:hAnsi="宋体"/>
          <w:szCs w:val="21"/>
          <w:lang w:val="en-US" w:eastAsia="zh-CN"/>
        </w:rPr>
        <w:t>https://webvpn.nankai.edu.cn/</w:t>
      </w:r>
      <w:r>
        <w:rPr>
          <w:rFonts w:hint="eastAsia" w:ascii="宋体" w:hAnsi="宋体"/>
          <w:szCs w:val="21"/>
          <w:lang w:val="en-US" w:eastAsia="zh-CN"/>
        </w:rPr>
        <w:fldChar w:fldCharType="end"/>
      </w:r>
    </w:p>
    <w:p>
      <w:pPr>
        <w:widowControl/>
        <w:spacing w:before="100" w:beforeAutospacing="1" w:after="100" w:afterAutospacing="1" w:line="226" w:lineRule="atLeast"/>
        <w:ind w:firstLine="632" w:firstLineChars="3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5.</w:t>
      </w:r>
      <w:r>
        <w:rPr>
          <w:rFonts w:hint="eastAsia" w:ascii="宋体" w:hAnsi="宋体"/>
          <w:szCs w:val="21"/>
        </w:rPr>
        <w:t>选课时只选本学期的课程，不能跨学期选课，选课时间结束后，选课系统将自动锁定，无法进行选课、退课等操作。</w:t>
      </w:r>
    </w:p>
    <w:p>
      <w:pPr>
        <w:spacing w:line="360" w:lineRule="auto"/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6.政治和公共英语课按照分班名单进行网上选课（院研办门前橱窗已张贴）。</w:t>
      </w:r>
    </w:p>
    <w:p>
      <w:pPr>
        <w:spacing w:line="360" w:lineRule="auto"/>
        <w:ind w:left="680" w:leftChars="324"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1）硕士生政治课为一学年，两个学期均要选课。</w:t>
      </w:r>
    </w:p>
    <w:p>
      <w:pPr>
        <w:spacing w:line="360" w:lineRule="auto"/>
        <w:ind w:left="680" w:leftChars="324" w:firstLine="315" w:firstLineChars="15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2）第一外国语（英语）免修的同学也要选课（详见研究生教育综合管理系统（学生）操作手册），否则不计学分。</w:t>
      </w:r>
    </w:p>
    <w:p>
      <w:pPr>
        <w:spacing w:line="360" w:lineRule="auto"/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7.第二外国语选课要求：只有研二以上和博士生可以选修二外课程。</w:t>
      </w:r>
    </w:p>
    <w:p>
      <w:pPr>
        <w:spacing w:line="360" w:lineRule="auto"/>
        <w:ind w:left="630" w:leftChars="300" w:firstLine="0" w:firstLineChars="0"/>
        <w:rPr>
          <w:rFonts w:hint="eastAsia" w:ascii="宋体" w:hAnsi="宋体"/>
          <w:szCs w:val="21"/>
          <w:lang w:eastAsia="zh-CN"/>
        </w:rPr>
      </w:pPr>
      <w:r>
        <w:rPr>
          <w:rFonts w:hint="eastAsia" w:ascii="宋体" w:hAnsi="宋体"/>
          <w:szCs w:val="21"/>
          <w:lang w:val="en-US" w:eastAsia="zh-CN"/>
        </w:rPr>
        <w:t>8.</w:t>
      </w:r>
      <w:r>
        <w:rPr>
          <w:rFonts w:hint="eastAsia" w:ascii="宋体" w:hAnsi="宋体"/>
          <w:szCs w:val="21"/>
        </w:rPr>
        <w:t>选择跨专业课程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详见《研究生教育综合管理系统（学生）操作手册》说明）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点击“增加跨专业课程”按钮。</w:t>
      </w:r>
      <w:r>
        <w:rPr>
          <w:rFonts w:hint="eastAsia" w:ascii="宋体" w:hAnsi="宋体"/>
          <w:szCs w:val="21"/>
        </w:rPr>
        <w:br w:type="textWrapping"/>
      </w:r>
      <w:r>
        <w:rPr>
          <w:rFonts w:hint="eastAsia" w:ascii="宋体" w:hAnsi="宋体"/>
          <w:szCs w:val="21"/>
        </w:rPr>
        <w:t>为鼓励研究生跨专业选课，在制定“个人学习计划”时，研究生可将至多 2 门外专业课纳入“个人学习计划”（每门课学分为该课程的学分且小于等于 2 学分）。此部分课程在学生成绩单上显示为“专业选修课（外专业）”，计入总学分，在毕业学分审核时，作为有效学分视为专业选修课。如学生学有余力，需要修读更多外专业课程，超出 2 门的外专业课程，不能纳入“个人学习计划”。但在选课时可通过“课程搜索”进行选课。此部分课程在学生成绩单上显示为“专业选修课（外专业）”，计入总学分，但不作为有效学分计入毕业学分审核</w:t>
      </w:r>
      <w:r>
        <w:rPr>
          <w:rFonts w:hint="eastAsia" w:ascii="宋体" w:hAnsi="宋体"/>
          <w:szCs w:val="21"/>
          <w:lang w:eastAsia="zh-CN"/>
        </w:rPr>
        <w:t>。</w:t>
      </w:r>
    </w:p>
    <w:p>
      <w:pPr>
        <w:spacing w:line="360" w:lineRule="auto"/>
        <w:ind w:firstLine="630" w:firstLineChars="300"/>
        <w:rPr>
          <w:rFonts w:hint="eastAsia" w:ascii="宋体" w:hAnsi="宋体"/>
          <w:szCs w:val="21"/>
        </w:rPr>
      </w:pPr>
    </w:p>
    <w:p>
      <w:pPr>
        <w:spacing w:line="360" w:lineRule="auto"/>
        <w:ind w:firstLine="630" w:firstLineChars="300"/>
        <w:rPr>
          <w:rFonts w:hint="eastAsia" w:ascii="宋体" w:hAnsi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_GB231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2U1YWU0NWJhY2I3Zjc1YzBiZGViZGE3YmUwYzYyZjYifQ=="/>
  </w:docVars>
  <w:rsids>
    <w:rsidRoot w:val="00140B5D"/>
    <w:rsid w:val="00041754"/>
    <w:rsid w:val="00041EC5"/>
    <w:rsid w:val="00047CA6"/>
    <w:rsid w:val="00086452"/>
    <w:rsid w:val="000E1AD6"/>
    <w:rsid w:val="000F3E4C"/>
    <w:rsid w:val="00112169"/>
    <w:rsid w:val="00125097"/>
    <w:rsid w:val="00140B5D"/>
    <w:rsid w:val="00166936"/>
    <w:rsid w:val="001B570F"/>
    <w:rsid w:val="001C1AD0"/>
    <w:rsid w:val="0020018C"/>
    <w:rsid w:val="00200EC7"/>
    <w:rsid w:val="00215716"/>
    <w:rsid w:val="00230C9A"/>
    <w:rsid w:val="00243615"/>
    <w:rsid w:val="00247F60"/>
    <w:rsid w:val="00272837"/>
    <w:rsid w:val="00294606"/>
    <w:rsid w:val="002D4DF4"/>
    <w:rsid w:val="002E4AB9"/>
    <w:rsid w:val="003040E5"/>
    <w:rsid w:val="00323002"/>
    <w:rsid w:val="00364817"/>
    <w:rsid w:val="00377FCE"/>
    <w:rsid w:val="00392AD0"/>
    <w:rsid w:val="003A7887"/>
    <w:rsid w:val="003F242F"/>
    <w:rsid w:val="00410ED6"/>
    <w:rsid w:val="00424976"/>
    <w:rsid w:val="00426272"/>
    <w:rsid w:val="00462D4E"/>
    <w:rsid w:val="00465B8B"/>
    <w:rsid w:val="0047068A"/>
    <w:rsid w:val="00475ED8"/>
    <w:rsid w:val="004905FF"/>
    <w:rsid w:val="00495E66"/>
    <w:rsid w:val="004A12F9"/>
    <w:rsid w:val="004A4BBD"/>
    <w:rsid w:val="004A5F86"/>
    <w:rsid w:val="004C297E"/>
    <w:rsid w:val="004D15A7"/>
    <w:rsid w:val="004D5683"/>
    <w:rsid w:val="00503B45"/>
    <w:rsid w:val="00512A91"/>
    <w:rsid w:val="005309A2"/>
    <w:rsid w:val="005331CA"/>
    <w:rsid w:val="005505E9"/>
    <w:rsid w:val="00556EEB"/>
    <w:rsid w:val="0059551B"/>
    <w:rsid w:val="005D51BA"/>
    <w:rsid w:val="005E4C1E"/>
    <w:rsid w:val="005F45EE"/>
    <w:rsid w:val="0060566C"/>
    <w:rsid w:val="00621F51"/>
    <w:rsid w:val="00624E84"/>
    <w:rsid w:val="006310C9"/>
    <w:rsid w:val="00645674"/>
    <w:rsid w:val="00645EB0"/>
    <w:rsid w:val="00682006"/>
    <w:rsid w:val="006B469B"/>
    <w:rsid w:val="006E6A25"/>
    <w:rsid w:val="006F4AA3"/>
    <w:rsid w:val="00717BA4"/>
    <w:rsid w:val="00721B83"/>
    <w:rsid w:val="0072263B"/>
    <w:rsid w:val="00732BDA"/>
    <w:rsid w:val="00751A47"/>
    <w:rsid w:val="00770588"/>
    <w:rsid w:val="00772D0F"/>
    <w:rsid w:val="00777DB2"/>
    <w:rsid w:val="007851EE"/>
    <w:rsid w:val="007F7DE0"/>
    <w:rsid w:val="00806485"/>
    <w:rsid w:val="008229FF"/>
    <w:rsid w:val="0085732E"/>
    <w:rsid w:val="0087546D"/>
    <w:rsid w:val="008A4384"/>
    <w:rsid w:val="008C341E"/>
    <w:rsid w:val="008D02B4"/>
    <w:rsid w:val="009116CE"/>
    <w:rsid w:val="0096348E"/>
    <w:rsid w:val="009704F9"/>
    <w:rsid w:val="009753D9"/>
    <w:rsid w:val="00977474"/>
    <w:rsid w:val="009B09D1"/>
    <w:rsid w:val="009B380B"/>
    <w:rsid w:val="009D47D1"/>
    <w:rsid w:val="009F3FA5"/>
    <w:rsid w:val="00A132A9"/>
    <w:rsid w:val="00A142EB"/>
    <w:rsid w:val="00A87883"/>
    <w:rsid w:val="00A9353F"/>
    <w:rsid w:val="00AA5E71"/>
    <w:rsid w:val="00AC4862"/>
    <w:rsid w:val="00AE4873"/>
    <w:rsid w:val="00AF4C46"/>
    <w:rsid w:val="00AF513A"/>
    <w:rsid w:val="00AF62FF"/>
    <w:rsid w:val="00B1194B"/>
    <w:rsid w:val="00B16D0F"/>
    <w:rsid w:val="00B42731"/>
    <w:rsid w:val="00BA1333"/>
    <w:rsid w:val="00BB5DC9"/>
    <w:rsid w:val="00BC5F81"/>
    <w:rsid w:val="00C24720"/>
    <w:rsid w:val="00C33F59"/>
    <w:rsid w:val="00C3651B"/>
    <w:rsid w:val="00C578E2"/>
    <w:rsid w:val="00C86833"/>
    <w:rsid w:val="00C95E38"/>
    <w:rsid w:val="00CC234E"/>
    <w:rsid w:val="00CE5C73"/>
    <w:rsid w:val="00D16DEB"/>
    <w:rsid w:val="00D37945"/>
    <w:rsid w:val="00D47EBC"/>
    <w:rsid w:val="00D502B9"/>
    <w:rsid w:val="00D67285"/>
    <w:rsid w:val="00D72834"/>
    <w:rsid w:val="00D80859"/>
    <w:rsid w:val="00DA4D0F"/>
    <w:rsid w:val="00DA7256"/>
    <w:rsid w:val="00DD0395"/>
    <w:rsid w:val="00DF0611"/>
    <w:rsid w:val="00E071B3"/>
    <w:rsid w:val="00E129C9"/>
    <w:rsid w:val="00E13E68"/>
    <w:rsid w:val="00E216A1"/>
    <w:rsid w:val="00E3110B"/>
    <w:rsid w:val="00E44EF6"/>
    <w:rsid w:val="00E50718"/>
    <w:rsid w:val="00E77EED"/>
    <w:rsid w:val="00E84C8C"/>
    <w:rsid w:val="00EE2360"/>
    <w:rsid w:val="00EF0A8B"/>
    <w:rsid w:val="00F016F3"/>
    <w:rsid w:val="00F21446"/>
    <w:rsid w:val="00F23D1B"/>
    <w:rsid w:val="00F57D1D"/>
    <w:rsid w:val="00F61618"/>
    <w:rsid w:val="00F637D8"/>
    <w:rsid w:val="00F661F7"/>
    <w:rsid w:val="00FA2ECA"/>
    <w:rsid w:val="00FB5C93"/>
    <w:rsid w:val="00FC6F77"/>
    <w:rsid w:val="00FE3744"/>
    <w:rsid w:val="00FF099B"/>
    <w:rsid w:val="03EF3F6F"/>
    <w:rsid w:val="07ED1447"/>
    <w:rsid w:val="0D02004F"/>
    <w:rsid w:val="0D4179AA"/>
    <w:rsid w:val="0DE7088B"/>
    <w:rsid w:val="19A65BB4"/>
    <w:rsid w:val="20C5494A"/>
    <w:rsid w:val="26B97FB8"/>
    <w:rsid w:val="2A887DCF"/>
    <w:rsid w:val="33B77237"/>
    <w:rsid w:val="34732497"/>
    <w:rsid w:val="4B566BB7"/>
    <w:rsid w:val="4B605BBF"/>
    <w:rsid w:val="4D065718"/>
    <w:rsid w:val="4FBE4CD1"/>
    <w:rsid w:val="52F46DA4"/>
    <w:rsid w:val="5DFE70D6"/>
    <w:rsid w:val="609320E1"/>
    <w:rsid w:val="613F1751"/>
    <w:rsid w:val="705B3FE5"/>
    <w:rsid w:val="743812FF"/>
    <w:rsid w:val="76EA2593"/>
    <w:rsid w:val="77A04C4F"/>
    <w:rsid w:val="77B66476"/>
    <w:rsid w:val="78C03F76"/>
    <w:rsid w:val="7B8C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qFormat/>
    <w:uiPriority w:val="0"/>
    <w:pPr>
      <w:outlineLvl w:val="1"/>
    </w:pPr>
    <w:rPr>
      <w:rFonts w:ascii="楷体_GB2312" w:hAnsi="宋体" w:eastAsia="楷体_GB2312"/>
      <w:sz w:val="28"/>
      <w:szCs w:val="28"/>
    </w:rPr>
  </w:style>
  <w:style w:type="paragraph" w:styleId="4">
    <w:name w:val="heading 3"/>
    <w:basedOn w:val="1"/>
    <w:next w:val="1"/>
    <w:link w:val="15"/>
    <w:qFormat/>
    <w:uiPriority w:val="0"/>
    <w:pPr>
      <w:spacing w:beforeLines="50"/>
      <w:outlineLvl w:val="2"/>
    </w:pPr>
    <w:rPr>
      <w:rFonts w:ascii="黑体" w:hAnsi="宋体" w:eastAsia="黑体"/>
      <w:sz w:val="24"/>
    </w:rPr>
  </w:style>
  <w:style w:type="paragraph" w:styleId="5">
    <w:name w:val="heading 4"/>
    <w:basedOn w:val="1"/>
    <w:next w:val="1"/>
    <w:link w:val="16"/>
    <w:qFormat/>
    <w:uiPriority w:val="0"/>
    <w:pPr>
      <w:spacing w:beforeLines="100" w:afterLines="50"/>
      <w:jc w:val="center"/>
      <w:outlineLvl w:val="3"/>
    </w:pPr>
    <w:rPr>
      <w:rFonts w:ascii="黑体" w:eastAsia="黑体"/>
      <w:sz w:val="2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link w:val="1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页眉 Char"/>
    <w:basedOn w:val="10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标题 2 Char"/>
    <w:basedOn w:val="10"/>
    <w:link w:val="3"/>
    <w:qFormat/>
    <w:uiPriority w:val="0"/>
    <w:rPr>
      <w:rFonts w:ascii="楷体_GB2312" w:hAnsi="宋体" w:eastAsia="楷体_GB2312" w:cs="Times New Roman"/>
      <w:sz w:val="28"/>
      <w:szCs w:val="28"/>
    </w:rPr>
  </w:style>
  <w:style w:type="character" w:customStyle="1" w:styleId="15">
    <w:name w:val="标题 3 Char"/>
    <w:basedOn w:val="10"/>
    <w:link w:val="4"/>
    <w:qFormat/>
    <w:uiPriority w:val="0"/>
    <w:rPr>
      <w:rFonts w:ascii="黑体" w:hAnsi="宋体" w:eastAsia="黑体" w:cs="Times New Roman"/>
      <w:sz w:val="24"/>
      <w:szCs w:val="24"/>
    </w:rPr>
  </w:style>
  <w:style w:type="character" w:customStyle="1" w:styleId="16">
    <w:name w:val="标题 4 Char"/>
    <w:basedOn w:val="10"/>
    <w:link w:val="5"/>
    <w:qFormat/>
    <w:uiPriority w:val="0"/>
    <w:rPr>
      <w:rFonts w:ascii="黑体" w:hAnsi="Times New Roman" w:eastAsia="黑体" w:cs="Times New Roman"/>
      <w:sz w:val="24"/>
      <w:szCs w:val="24"/>
    </w:rPr>
  </w:style>
  <w:style w:type="character" w:customStyle="1" w:styleId="17">
    <w:name w:val="正文文本缩进 Char"/>
    <w:basedOn w:val="10"/>
    <w:link w:val="6"/>
    <w:qFormat/>
    <w:uiPriority w:val="0"/>
    <w:rPr>
      <w:rFonts w:ascii="宋体" w:hAnsi="宋体" w:eastAsia="宋体" w:cs="Times New Roman"/>
      <w:color w:val="000000"/>
      <w:kern w:val="0"/>
      <w:sz w:val="24"/>
      <w:szCs w:val="24"/>
    </w:rPr>
  </w:style>
  <w:style w:type="character" w:customStyle="1" w:styleId="18">
    <w:name w:val="zw1"/>
    <w:basedOn w:val="10"/>
    <w:qFormat/>
    <w:uiPriority w:val="0"/>
    <w:rPr>
      <w:rFonts w:hint="default" w:ascii="_GB2312" w:hAnsi="_GB2312"/>
      <w:color w:val="000066"/>
      <w:sz w:val="18"/>
      <w:szCs w:val="18"/>
    </w:rPr>
  </w:style>
  <w:style w:type="character" w:customStyle="1" w:styleId="19">
    <w:name w:val="标题 1 Char"/>
    <w:basedOn w:val="10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eastAsia="华文中宋" w:cs="华文中宋" w:hAnsiTheme="minorHAnsi"/>
      <w:color w:val="000000"/>
      <w:sz w:val="24"/>
      <w:szCs w:val="24"/>
      <w:lang w:val="en-US" w:eastAsia="zh-CN" w:bidi="ar-SA"/>
    </w:rPr>
  </w:style>
  <w:style w:type="character" w:customStyle="1" w:styleId="22">
    <w:name w:val="fontstyle2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</w:rPr>
  </w:style>
  <w:style w:type="character" w:customStyle="1" w:styleId="23">
    <w:name w:val="fontstyle31"/>
    <w:basedOn w:val="10"/>
    <w:qFormat/>
    <w:uiPriority w:val="0"/>
    <w:rPr>
      <w:rFonts w:hint="default" w:ascii="Calibri" w:hAnsi="Calibri" w:cs="Calibri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F7C04-0F1D-48C2-9465-1C883E7324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3</Pages>
  <Words>1493</Words>
  <Characters>1962</Characters>
  <Lines>13</Lines>
  <Paragraphs>3</Paragraphs>
  <TotalTime>1</TotalTime>
  <ScaleCrop>false</ScaleCrop>
  <LinksUpToDate>false</LinksUpToDate>
  <CharactersWithSpaces>1983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2019-11-14T00:25:00Z</dcterms:created>
  <dc:creator>HP</dc:creator>
  <cp:lastModifiedBy>Lenovo</cp:lastModifiedBy>
  <dcterms:modified xsi:type="dcterms:W3CDTF">2022-09-01T07:44:47Z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95540173554B462C82DED72E1EA2C615</vt:lpwstr>
  </property>
</Properties>
</file>