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</w:pP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76835</wp:posOffset>
            </wp:positionH>
            <wp:positionV relativeFrom="paragraph">
              <wp:posOffset>-151130</wp:posOffset>
            </wp:positionV>
            <wp:extent cx="810895" cy="824230"/>
            <wp:effectExtent l="0" t="0" r="8255" b="13970"/>
            <wp:wrapThrough wrapText="bothSides">
              <wp:wrapPolygon>
                <wp:start x="0" y="0"/>
                <wp:lineTo x="0" y="20968"/>
                <wp:lineTo x="21312" y="20968"/>
                <wp:lineTo x="21312" y="0"/>
                <wp:lineTo x="0" y="0"/>
              </wp:wrapPolygon>
            </wp:wrapThrough>
            <wp:docPr id="1" name="图片 5" descr="Nankai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5" descr="Nankai logo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10895" cy="82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2442845</wp:posOffset>
            </wp:positionH>
            <wp:positionV relativeFrom="paragraph">
              <wp:posOffset>-28575</wp:posOffset>
            </wp:positionV>
            <wp:extent cx="2990215" cy="586105"/>
            <wp:effectExtent l="0" t="0" r="635" b="4445"/>
            <wp:wrapSquare wrapText="bothSides"/>
            <wp:docPr id="2" name="图片 2" descr="Corporate-Logo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orporate-Logo_RGB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90215" cy="58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/>
    <w:p>
      <w:pPr>
        <w:jc w:val="left"/>
      </w:pPr>
    </w:p>
    <w:p>
      <w:pPr>
        <w:jc w:val="left"/>
      </w:pPr>
    </w:p>
    <w:p>
      <w:pPr>
        <w:jc w:val="left"/>
      </w:pPr>
    </w:p>
    <w:p>
      <w:pPr>
        <w:ind w:left="1562" w:hanging="1562" w:hangingChars="300"/>
        <w:jc w:val="center"/>
        <w:rPr>
          <w:rFonts w:ascii="华文楷体" w:hAnsi="华文楷体" w:eastAsia="华文楷体"/>
          <w:b/>
          <w:sz w:val="52"/>
          <w:szCs w:val="52"/>
        </w:rPr>
      </w:pPr>
      <w:r>
        <w:rPr>
          <w:rFonts w:hint="eastAsia" w:ascii="华文楷体" w:hAnsi="华文楷体" w:eastAsia="华文楷体"/>
          <w:b/>
          <w:sz w:val="52"/>
          <w:szCs w:val="52"/>
        </w:rPr>
        <w:t>南开大学-香港</w:t>
      </w:r>
      <w:r>
        <w:rPr>
          <w:rFonts w:hint="eastAsia" w:ascii="华文楷体" w:hAnsi="华文楷体" w:eastAsia="华文楷体"/>
          <w:b/>
          <w:sz w:val="52"/>
          <w:szCs w:val="52"/>
          <w:lang w:val="en-US" w:eastAsia="zh-CN"/>
        </w:rPr>
        <w:t>理工</w:t>
      </w:r>
      <w:r>
        <w:rPr>
          <w:rFonts w:hint="eastAsia" w:ascii="华文楷体" w:hAnsi="华文楷体" w:eastAsia="华文楷体"/>
          <w:b/>
          <w:sz w:val="52"/>
          <w:szCs w:val="52"/>
        </w:rPr>
        <w:t>大学</w:t>
      </w:r>
    </w:p>
    <w:p>
      <w:pPr>
        <w:ind w:left="1441" w:hanging="1441" w:hangingChars="300"/>
        <w:jc w:val="center"/>
        <w:rPr>
          <w:rFonts w:ascii="华文楷体" w:hAnsi="华文楷体" w:eastAsia="华文楷体"/>
          <w:b/>
          <w:sz w:val="48"/>
          <w:szCs w:val="48"/>
        </w:rPr>
      </w:pPr>
      <w:r>
        <w:rPr>
          <w:rFonts w:hint="eastAsia" w:ascii="华文楷体" w:hAnsi="华文楷体" w:eastAsia="华文楷体"/>
          <w:b/>
          <w:sz w:val="48"/>
          <w:szCs w:val="48"/>
        </w:rPr>
        <w:t>联合培养博士研究生项目实施办法</w:t>
      </w:r>
    </w:p>
    <w:p>
      <w:pPr>
        <w:jc w:val="left"/>
      </w:pPr>
    </w:p>
    <w:p>
      <w:pPr>
        <w:rPr>
          <w:rFonts w:ascii="华文楷体" w:hAnsi="华文楷体" w:eastAsia="华文楷体"/>
        </w:rPr>
      </w:pPr>
    </w:p>
    <w:p>
      <w:pPr>
        <w:rPr>
          <w:rFonts w:ascii="华文楷体" w:hAnsi="华文楷体" w:eastAsia="华文楷体"/>
        </w:rPr>
      </w:pPr>
    </w:p>
    <w:p>
      <w:pPr>
        <w:rPr>
          <w:rFonts w:ascii="华文楷体" w:hAnsi="华文楷体" w:eastAsia="华文楷体"/>
        </w:rPr>
      </w:pPr>
    </w:p>
    <w:p>
      <w:pPr>
        <w:rPr>
          <w:rFonts w:ascii="华文楷体" w:hAnsi="华文楷体" w:eastAsia="华文楷体"/>
        </w:rPr>
      </w:pPr>
    </w:p>
    <w:p>
      <w:pPr>
        <w:rPr>
          <w:rFonts w:ascii="华文楷体" w:hAnsi="华文楷体" w:eastAsia="华文楷体"/>
        </w:rPr>
      </w:pPr>
    </w:p>
    <w:p>
      <w:pPr>
        <w:rPr>
          <w:rFonts w:ascii="华文楷体" w:hAnsi="华文楷体" w:eastAsia="华文楷体"/>
        </w:rPr>
      </w:pPr>
    </w:p>
    <w:p>
      <w:pPr>
        <w:rPr>
          <w:rFonts w:ascii="华文楷体" w:hAnsi="华文楷体" w:eastAsia="华文楷体"/>
        </w:rPr>
      </w:pPr>
    </w:p>
    <w:p>
      <w:pPr>
        <w:rPr>
          <w:rFonts w:ascii="华文楷体" w:hAnsi="华文楷体" w:eastAsia="华文楷体"/>
        </w:rPr>
      </w:pPr>
    </w:p>
    <w:p>
      <w:pPr>
        <w:rPr>
          <w:rFonts w:ascii="华文楷体" w:hAnsi="华文楷体" w:eastAsia="华文楷体"/>
        </w:rPr>
      </w:pPr>
    </w:p>
    <w:p>
      <w:pPr>
        <w:rPr>
          <w:rFonts w:ascii="华文楷体" w:hAnsi="华文楷体" w:eastAsia="华文楷体"/>
        </w:rPr>
      </w:pPr>
    </w:p>
    <w:p>
      <w:pPr>
        <w:rPr>
          <w:rFonts w:ascii="华文楷体" w:hAnsi="华文楷体" w:eastAsia="华文楷体"/>
        </w:rPr>
      </w:pPr>
    </w:p>
    <w:p>
      <w:pPr>
        <w:rPr>
          <w:rFonts w:ascii="华文楷体" w:hAnsi="华文楷体" w:eastAsia="华文楷体"/>
        </w:rPr>
      </w:pPr>
    </w:p>
    <w:p>
      <w:pPr>
        <w:rPr>
          <w:rFonts w:ascii="华文楷体" w:hAnsi="华文楷体" w:eastAsia="华文楷体"/>
        </w:rPr>
      </w:pPr>
    </w:p>
    <w:p>
      <w:pPr>
        <w:rPr>
          <w:rFonts w:ascii="华文楷体" w:hAnsi="华文楷体" w:eastAsia="华文楷体"/>
        </w:rPr>
      </w:pPr>
    </w:p>
    <w:p>
      <w:pPr>
        <w:rPr>
          <w:rFonts w:ascii="华文楷体" w:hAnsi="华文楷体" w:eastAsia="华文楷体"/>
          <w:sz w:val="36"/>
          <w:szCs w:val="36"/>
        </w:rPr>
      </w:pPr>
    </w:p>
    <w:p>
      <w:pPr>
        <w:jc w:val="center"/>
        <w:rPr>
          <w:rFonts w:ascii="华文楷体" w:hAnsi="华文楷体" w:eastAsia="华文楷体"/>
          <w:sz w:val="36"/>
          <w:szCs w:val="36"/>
        </w:rPr>
      </w:pPr>
    </w:p>
    <w:p>
      <w:pPr>
        <w:jc w:val="center"/>
        <w:rPr>
          <w:rFonts w:ascii="华文楷体" w:hAnsi="华文楷体" w:eastAsia="华文楷体"/>
          <w:sz w:val="36"/>
          <w:szCs w:val="36"/>
        </w:rPr>
      </w:pPr>
      <w:r>
        <w:rPr>
          <w:rFonts w:hint="eastAsia" w:ascii="华文楷体" w:hAnsi="华文楷体" w:eastAsia="华文楷体"/>
          <w:sz w:val="36"/>
          <w:szCs w:val="36"/>
        </w:rPr>
        <w:t>南开大学 研究生院</w:t>
      </w:r>
    </w:p>
    <w:p>
      <w:pPr>
        <w:ind w:firstLine="2880" w:firstLineChars="800"/>
        <w:rPr>
          <w:rFonts w:ascii="华文楷体" w:hAnsi="华文楷体" w:eastAsia="华文楷体"/>
          <w:sz w:val="36"/>
          <w:szCs w:val="36"/>
        </w:rPr>
      </w:pPr>
      <w:r>
        <w:rPr>
          <w:rFonts w:hint="eastAsia" w:ascii="华文楷体" w:hAnsi="华文楷体" w:eastAsia="华文楷体"/>
          <w:sz w:val="36"/>
          <w:szCs w:val="36"/>
        </w:rPr>
        <w:t>二</w:t>
      </w:r>
      <w:r>
        <w:rPr>
          <w:rFonts w:hint="eastAsia" w:ascii="华文楷体" w:hAnsi="华文楷体" w:eastAsia="华文楷体"/>
          <w:sz w:val="36"/>
          <w:szCs w:val="36"/>
          <w:lang w:val="en-US" w:eastAsia="zh-CN"/>
        </w:rPr>
        <w:t>〇</w:t>
      </w:r>
      <w:r>
        <w:rPr>
          <w:rFonts w:hint="eastAsia" w:ascii="华文楷体" w:hAnsi="华文楷体" w:eastAsia="华文楷体"/>
          <w:sz w:val="36"/>
          <w:szCs w:val="36"/>
        </w:rPr>
        <w:t>二</w:t>
      </w:r>
      <w:r>
        <w:rPr>
          <w:rFonts w:hint="eastAsia" w:ascii="华文楷体" w:hAnsi="华文楷体" w:eastAsia="华文楷体"/>
          <w:sz w:val="36"/>
          <w:szCs w:val="36"/>
          <w:lang w:val="en-US" w:eastAsia="zh-CN"/>
        </w:rPr>
        <w:t>二</w:t>
      </w:r>
      <w:r>
        <w:rPr>
          <w:rFonts w:hint="eastAsia" w:ascii="华文楷体" w:hAnsi="华文楷体" w:eastAsia="华文楷体"/>
          <w:sz w:val="36"/>
          <w:szCs w:val="36"/>
        </w:rPr>
        <w:t>年</w:t>
      </w:r>
      <w:r>
        <w:rPr>
          <w:rFonts w:hint="eastAsia" w:ascii="华文楷体" w:hAnsi="华文楷体" w:eastAsia="华文楷体"/>
          <w:sz w:val="36"/>
          <w:szCs w:val="36"/>
          <w:lang w:val="en-US" w:eastAsia="zh-CN"/>
        </w:rPr>
        <w:t>一</w:t>
      </w:r>
      <w:r>
        <w:rPr>
          <w:rFonts w:hint="eastAsia" w:ascii="华文楷体" w:hAnsi="华文楷体" w:eastAsia="华文楷体"/>
          <w:sz w:val="36"/>
          <w:szCs w:val="36"/>
        </w:rPr>
        <w:t>月</w:t>
      </w:r>
    </w:p>
    <w:p>
      <w:pPr>
        <w:pStyle w:val="13"/>
        <w:rPr>
          <w:rFonts w:cstheme="minorBidi"/>
          <w:color w:val="auto"/>
        </w:rPr>
      </w:pPr>
    </w:p>
    <w:p>
      <w:pPr>
        <w:pStyle w:val="13"/>
        <w:rPr>
          <w:rFonts w:cstheme="minorBidi"/>
          <w:color w:val="auto"/>
        </w:rPr>
      </w:pPr>
    </w:p>
    <w:p>
      <w:pPr>
        <w:snapToGrid w:val="0"/>
        <w:spacing w:line="312" w:lineRule="auto"/>
        <w:ind w:firstLine="420" w:firstLineChars="0"/>
        <w:rPr>
          <w:rFonts w:hint="eastAsia" w:ascii="FangSong_GB2312" w:hAnsi="FangSong_GB2312" w:eastAsia="FangSong_GB2312" w:cs="FangSong_GB2312"/>
          <w:b/>
          <w:bCs/>
          <w:sz w:val="28"/>
          <w:szCs w:val="28"/>
          <w:lang w:val="en-US" w:eastAsia="zh-CN"/>
        </w:rPr>
      </w:pPr>
      <w:r>
        <w:rPr>
          <w:rFonts w:hint="eastAsia" w:ascii="FangSong_GB2312" w:hAnsi="FangSong_GB2312" w:eastAsia="FangSong_GB2312" w:cs="FangSong_GB2312"/>
          <w:b/>
          <w:bCs/>
          <w:sz w:val="28"/>
          <w:szCs w:val="28"/>
          <w:lang w:val="en-US" w:eastAsia="zh-CN"/>
        </w:rPr>
        <w:t>2022年南开大学-香港理工大学联合培养博士研究生项目实施办法</w:t>
      </w:r>
    </w:p>
    <w:p>
      <w:pPr>
        <w:pStyle w:val="13"/>
        <w:rPr>
          <w:rFonts w:ascii="华文仿宋" w:hAnsi="华文仿宋" w:eastAsia="华文仿宋"/>
          <w:color w:val="auto"/>
        </w:rPr>
      </w:pPr>
    </w:p>
    <w:p>
      <w:pPr>
        <w:numPr>
          <w:ilvl w:val="0"/>
          <w:numId w:val="1"/>
        </w:numPr>
        <w:snapToGrid w:val="0"/>
        <w:spacing w:line="312" w:lineRule="auto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hint="eastAsia" w:ascii="FangSong_GB2312" w:hAnsi="FangSong_GB2312" w:eastAsia="FangSong_GB2312" w:cs="FangSong_GB2312"/>
          <w:sz w:val="28"/>
          <w:szCs w:val="28"/>
        </w:rPr>
        <w:t>项目简介</w:t>
      </w:r>
    </w:p>
    <w:p>
      <w:pPr>
        <w:snapToGrid w:val="0"/>
        <w:spacing w:line="312" w:lineRule="auto"/>
        <w:ind w:firstLine="420" w:firstLineChars="0"/>
        <w:rPr>
          <w:rFonts w:hint="eastAsia" w:ascii="FangSong_GB2312" w:hAnsi="FangSong_GB2312" w:eastAsia="FangSong_GB2312" w:cs="FangSong_GB2312"/>
          <w:sz w:val="28"/>
          <w:szCs w:val="28"/>
        </w:rPr>
      </w:pPr>
      <w:r>
        <w:rPr>
          <w:rFonts w:hint="eastAsia" w:ascii="FangSong_GB2312" w:hAnsi="FangSong_GB2312" w:eastAsia="FangSong_GB2312" w:cs="FangSong_GB2312"/>
          <w:sz w:val="28"/>
          <w:szCs w:val="28"/>
          <w:lang w:val="en-US" w:eastAsia="zh-CN"/>
        </w:rPr>
        <w:t xml:space="preserve">香港理工大学（简称“理大”）是香港特别行政区历史最悠久的大学之一，理大最早可追溯至成立于1937年的香港官立高级工业学院，也是香港第一所由政府资助、提供工科教育的院校。经过八十余年的发展，凭借世界级的科研与教育，理大矢志成为全球顶尖高校。在2022年QS世界大学排行榜中，理大排名再创新高，跃升至全球第66位。 </w:t>
      </w:r>
    </w:p>
    <w:p>
      <w:pPr>
        <w:snapToGrid w:val="0"/>
        <w:spacing w:line="312" w:lineRule="auto"/>
        <w:ind w:firstLine="420" w:firstLineChars="0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hint="eastAsia" w:ascii="FangSong_GB2312" w:hAnsi="FangSong_GB2312" w:eastAsia="FangSong_GB2312" w:cs="FangSong_GB2312"/>
          <w:sz w:val="28"/>
          <w:szCs w:val="28"/>
          <w:lang w:val="en-US" w:eastAsia="zh-CN"/>
        </w:rPr>
        <w:t xml:space="preserve">理大拥有强大的学术人员团队，其中诸多教授/讲座教授是其研究领域内的国际权威专家，提供具有国际竞争力的科研指导。理大的研究项目获政府与研究资助机构的大力支持，科研亮点包括：航天与航空工程、人工智能、大数据与金融科技、药物研发与医疗科学、智慧城市、可持续基建及环境、人文与先进材料。 </w:t>
      </w:r>
    </w:p>
    <w:p>
      <w:pPr>
        <w:numPr>
          <w:ilvl w:val="0"/>
          <w:numId w:val="1"/>
        </w:numPr>
        <w:snapToGrid w:val="0"/>
        <w:spacing w:line="312" w:lineRule="auto"/>
        <w:ind w:left="0" w:leftChars="0" w:firstLine="0" w:firstLineChars="0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hint="eastAsia" w:ascii="FangSong_GB2312" w:hAnsi="FangSong_GB2312" w:eastAsia="FangSong_GB2312" w:cs="FangSong_GB2312"/>
          <w:sz w:val="28"/>
          <w:szCs w:val="28"/>
          <w:lang w:val="en-US" w:eastAsia="zh-CN"/>
        </w:rPr>
        <w:t>学科领域</w:t>
      </w:r>
    </w:p>
    <w:p>
      <w:pPr>
        <w:snapToGrid w:val="0"/>
        <w:spacing w:line="312" w:lineRule="auto"/>
        <w:ind w:firstLine="420" w:firstLineChars="0"/>
        <w:rPr>
          <w:rFonts w:hint="eastAsia" w:ascii="FangSong_GB2312" w:hAnsi="FangSong_GB2312" w:eastAsia="FangSong_GB2312" w:cs="FangSong_GB2312"/>
          <w:sz w:val="28"/>
          <w:szCs w:val="28"/>
          <w:lang w:val="en-US" w:eastAsia="zh-CN"/>
        </w:rPr>
      </w:pPr>
      <w:r>
        <w:rPr>
          <w:rFonts w:hint="eastAsia" w:ascii="FangSong_GB2312" w:hAnsi="FangSong_GB2312" w:eastAsia="FangSong_GB2312" w:cs="FangSong_GB2312"/>
          <w:sz w:val="28"/>
          <w:szCs w:val="28"/>
          <w:lang w:val="en-US" w:eastAsia="zh-CN"/>
        </w:rPr>
        <w:t>两校已有博士学位授予权的学科领域。</w:t>
      </w:r>
    </w:p>
    <w:p>
      <w:pPr>
        <w:numPr>
          <w:ilvl w:val="0"/>
          <w:numId w:val="1"/>
        </w:numPr>
        <w:snapToGrid w:val="0"/>
        <w:spacing w:line="312" w:lineRule="auto"/>
        <w:ind w:left="0" w:leftChars="0" w:firstLine="0" w:firstLineChars="0"/>
        <w:rPr>
          <w:rFonts w:hint="eastAsia" w:ascii="FangSong_GB2312" w:hAnsi="FangSong_GB2312" w:eastAsia="FangSong_GB2312" w:cs="FangSong_GB2312"/>
          <w:sz w:val="28"/>
          <w:szCs w:val="28"/>
          <w:lang w:val="en-US" w:eastAsia="zh-CN"/>
        </w:rPr>
      </w:pPr>
      <w:r>
        <w:rPr>
          <w:rFonts w:hint="eastAsia" w:ascii="FangSong_GB2312" w:hAnsi="FangSong_GB2312" w:eastAsia="FangSong_GB2312" w:cs="FangSong_GB2312"/>
          <w:sz w:val="28"/>
          <w:szCs w:val="28"/>
          <w:lang w:val="en-US" w:eastAsia="zh-CN"/>
        </w:rPr>
        <w:t>学习地点与住宿安排</w:t>
      </w:r>
    </w:p>
    <w:p>
      <w:pPr>
        <w:snapToGrid w:val="0"/>
        <w:spacing w:line="312" w:lineRule="auto"/>
        <w:ind w:firstLine="420" w:firstLineChars="0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hint="eastAsia" w:ascii="FangSong_GB2312" w:hAnsi="FangSong_GB2312" w:eastAsia="FangSong_GB2312" w:cs="FangSong_GB2312"/>
          <w:sz w:val="28"/>
          <w:szCs w:val="28"/>
          <w:lang w:val="en-US" w:eastAsia="zh-CN"/>
        </w:rPr>
        <w:t>联合培养博士研究生</w:t>
      </w:r>
      <w:r>
        <w:rPr>
          <w:rFonts w:ascii="FangSong_GB2312" w:hAnsi="FangSong_GB2312" w:eastAsia="FangSong_GB2312" w:cs="FangSong_GB2312"/>
          <w:sz w:val="28"/>
          <w:szCs w:val="28"/>
        </w:rPr>
        <w:t>原则上</w:t>
      </w:r>
      <w:r>
        <w:rPr>
          <w:rFonts w:hint="eastAsia" w:ascii="FangSong_GB2312" w:hAnsi="FangSong_GB2312" w:eastAsia="FangSong_GB2312" w:cs="FangSong_GB2312"/>
          <w:sz w:val="28"/>
          <w:szCs w:val="28"/>
          <w:lang w:val="en-US" w:eastAsia="zh-CN"/>
        </w:rPr>
        <w:t>需于首年在</w:t>
      </w:r>
      <w:r>
        <w:rPr>
          <w:rFonts w:ascii="FangSong_GB2312" w:hAnsi="FangSong_GB2312" w:eastAsia="FangSong_GB2312" w:cs="FangSong_GB2312"/>
          <w:sz w:val="28"/>
          <w:szCs w:val="28"/>
        </w:rPr>
        <w:t>南开修读并完成公共必修课和学科基础课程</w:t>
      </w:r>
      <w:r>
        <w:rPr>
          <w:rFonts w:hint="eastAsia" w:ascii="FangSong_GB2312" w:hAnsi="FangSong_GB2312" w:eastAsia="FangSong_GB2312" w:cs="FangSong_GB2312"/>
          <w:sz w:val="28"/>
          <w:szCs w:val="28"/>
          <w:lang w:eastAsia="zh-CN"/>
        </w:rPr>
        <w:t>。第二、三年在理大按导师要求进行研究，完成申请确认博士生资格并取得注册确认。理大</w:t>
      </w:r>
      <w:r>
        <w:rPr>
          <w:rFonts w:hint="eastAsia" w:ascii="FangSong_GB2312" w:hAnsi="FangSong_GB2312" w:eastAsia="FangSong_GB2312" w:cs="FangSong_GB2312"/>
          <w:sz w:val="28"/>
          <w:szCs w:val="28"/>
          <w:lang w:val="en-US" w:eastAsia="zh-CN"/>
        </w:rPr>
        <w:t>允许</w:t>
      </w:r>
      <w:r>
        <w:rPr>
          <w:rFonts w:hint="eastAsia" w:ascii="FangSong_GB2312" w:hAnsi="FangSong_GB2312" w:eastAsia="FangSong_GB2312" w:cs="FangSong_GB2312"/>
          <w:sz w:val="28"/>
          <w:szCs w:val="28"/>
          <w:lang w:eastAsia="zh-CN"/>
        </w:rPr>
        <w:t>联合培养博士研究生通过课程学分转换满足理大课程学分要求。对转学分后仍缺失的必要课程，到理大后进行修读。第四年在南开大学进行学习和科学研究。</w:t>
      </w:r>
      <w:r>
        <w:rPr>
          <w:rFonts w:hint="eastAsia" w:ascii="FangSong_GB2312" w:hAnsi="FangSong_GB2312" w:eastAsia="FangSong_GB2312" w:cs="FangSong_GB2312"/>
          <w:sz w:val="28"/>
          <w:szCs w:val="28"/>
        </w:rPr>
        <w:t>具体学制安排如下：</w:t>
      </w:r>
    </w:p>
    <w:tbl>
      <w:tblPr>
        <w:tblStyle w:val="6"/>
        <w:tblpPr w:leftFromText="180" w:rightFromText="180" w:vertAnchor="text" w:horzAnchor="page" w:tblpX="1886" w:tblpY="337"/>
        <w:tblOverlap w:val="never"/>
        <w:tblW w:w="84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29"/>
        <w:gridCol w:w="60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2429" w:type="dxa"/>
            <w:shd w:val="clear" w:color="auto" w:fill="C0C0C0"/>
            <w:noWrap w:val="0"/>
            <w:vAlign w:val="top"/>
          </w:tcPr>
          <w:p>
            <w:pPr>
              <w:snapToGrid w:val="0"/>
              <w:jc w:val="center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学年</w:t>
            </w:r>
          </w:p>
        </w:tc>
        <w:tc>
          <w:tcPr>
            <w:tcW w:w="6010" w:type="dxa"/>
            <w:shd w:val="clear" w:color="auto" w:fill="C0C0C0"/>
            <w:noWrap w:val="0"/>
            <w:vAlign w:val="top"/>
          </w:tcPr>
          <w:p>
            <w:pPr>
              <w:snapToGrid w:val="0"/>
              <w:jc w:val="center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学习地点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</w:trPr>
        <w:tc>
          <w:tcPr>
            <w:tcW w:w="2429" w:type="dxa"/>
            <w:noWrap w:val="0"/>
            <w:vAlign w:val="top"/>
          </w:tcPr>
          <w:p>
            <w:pPr>
              <w:snapToGrid w:val="0"/>
              <w:jc w:val="center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第一学年</w:t>
            </w:r>
          </w:p>
        </w:tc>
        <w:tc>
          <w:tcPr>
            <w:tcW w:w="6010" w:type="dxa"/>
            <w:noWrap w:val="0"/>
            <w:vAlign w:val="top"/>
          </w:tcPr>
          <w:p>
            <w:pPr>
              <w:snapToGrid w:val="0"/>
              <w:spacing w:line="312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- 注册成为</w:t>
            </w:r>
            <w:r>
              <w:rPr>
                <w:rFonts w:hint="eastAsia" w:ascii="FangSong_GB2312" w:hAnsi="FangSong_GB2312" w:eastAsia="FangSong_GB2312" w:cs="FangSong_GB2312"/>
                <w:sz w:val="28"/>
                <w:szCs w:val="28"/>
              </w:rPr>
              <w:t>南开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及理大的联合培养博士生</w:t>
            </w:r>
          </w:p>
          <w:p>
            <w:pPr>
              <w:snapToGrid w:val="0"/>
              <w:spacing w:line="312" w:lineRule="auto"/>
              <w:rPr>
                <w:rFonts w:hint="eastAsia"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- 在</w:t>
            </w:r>
            <w:r>
              <w:rPr>
                <w:rFonts w:hint="eastAsia" w:ascii="FangSong_GB2312" w:hAnsi="FangSong_GB2312" w:eastAsia="FangSong_GB2312" w:cs="FangSong_GB2312"/>
                <w:sz w:val="28"/>
                <w:szCs w:val="28"/>
              </w:rPr>
              <w:t>南开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进行课程学习和科学研究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2429" w:type="dxa"/>
            <w:noWrap w:val="0"/>
            <w:vAlign w:val="top"/>
          </w:tcPr>
          <w:p>
            <w:pPr>
              <w:snapToGrid w:val="0"/>
              <w:jc w:val="center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第二</w:t>
            </w:r>
            <w:r>
              <w:rPr>
                <w:rFonts w:hint="eastAsia" w:ascii="FangSong_GB2312" w:hAnsi="FangSong_GB2312" w:eastAsia="FangSong_GB2312" w:cs="FangSong_GB2312"/>
                <w:sz w:val="28"/>
                <w:szCs w:val="28"/>
              </w:rPr>
              <w:t>、三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学年</w:t>
            </w:r>
          </w:p>
        </w:tc>
        <w:tc>
          <w:tcPr>
            <w:tcW w:w="6010" w:type="dxa"/>
            <w:noWrap w:val="0"/>
            <w:vAlign w:val="top"/>
          </w:tcPr>
          <w:p>
            <w:pPr>
              <w:snapToGrid w:val="0"/>
              <w:spacing w:line="312" w:lineRule="auto"/>
              <w:rPr>
                <w:rFonts w:hint="eastAsia"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- 于理大学习两个学年及</w:t>
            </w:r>
            <w:r>
              <w:rPr>
                <w:rFonts w:hint="eastAsia" w:ascii="FangSong_GB2312" w:hAnsi="FangSong_GB2312" w:eastAsia="FangSong_GB2312" w:cs="FangSong_GB2312"/>
                <w:sz w:val="28"/>
                <w:szCs w:val="28"/>
              </w:rPr>
              <w:t>取得注册确认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4" w:hRule="atLeast"/>
        </w:trPr>
        <w:tc>
          <w:tcPr>
            <w:tcW w:w="2429" w:type="dxa"/>
            <w:noWrap w:val="0"/>
            <w:vAlign w:val="top"/>
          </w:tcPr>
          <w:p>
            <w:pPr>
              <w:snapToGrid w:val="0"/>
              <w:jc w:val="center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第四学年</w:t>
            </w:r>
          </w:p>
        </w:tc>
        <w:tc>
          <w:tcPr>
            <w:tcW w:w="6010" w:type="dxa"/>
            <w:noWrap w:val="0"/>
            <w:vAlign w:val="top"/>
          </w:tcPr>
          <w:p>
            <w:pPr>
              <w:snapToGrid w:val="0"/>
              <w:spacing w:line="312" w:lineRule="auto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- 于</w:t>
            </w:r>
            <w:r>
              <w:rPr>
                <w:rFonts w:hint="eastAsia" w:ascii="FangSong_GB2312" w:hAnsi="FangSong_GB2312" w:eastAsia="FangSong_GB2312" w:cs="FangSong_GB2312"/>
                <w:sz w:val="28"/>
                <w:szCs w:val="28"/>
              </w:rPr>
              <w:t>南开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学习</w:t>
            </w:r>
            <w:r>
              <w:rPr>
                <w:rFonts w:hint="eastAsia" w:ascii="Microsoft JhengHei" w:hAnsi="Microsoft JhengHei" w:eastAsia="Microsoft JhengHei" w:cs="Microsoft JhengHei"/>
                <w:sz w:val="28"/>
                <w:szCs w:val="28"/>
              </w:rPr>
              <w:t>､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修读课程</w:t>
            </w:r>
            <w:r>
              <w:rPr>
                <w:rFonts w:hint="eastAsia" w:ascii="Microsoft JhengHei" w:hAnsi="Microsoft JhengHei" w:eastAsia="Microsoft JhengHei" w:cs="Microsoft JhengHei"/>
                <w:sz w:val="28"/>
                <w:szCs w:val="28"/>
              </w:rPr>
              <w:t>､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进行科研及撰写论文</w:t>
            </w:r>
          </w:p>
          <w:p>
            <w:pPr>
              <w:snapToGrid w:val="0"/>
              <w:spacing w:line="312" w:lineRule="auto"/>
              <w:rPr>
                <w:rFonts w:hint="eastAsia"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hint="eastAsia" w:ascii="FangSong_GB2312" w:hAnsi="FangSong_GB2312" w:eastAsia="FangSong_GB2312" w:cs="FangSong_GB2312"/>
                <w:sz w:val="28"/>
                <w:szCs w:val="28"/>
              </w:rPr>
              <w:t>-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 xml:space="preserve"> 答辩</w:t>
            </w:r>
            <w:r>
              <w:rPr>
                <w:rFonts w:hint="eastAsia" w:ascii="FangSong_GB2312" w:hAnsi="FangSong_GB2312" w:eastAsia="FangSong_GB2312" w:cs="FangSong_GB2312"/>
                <w:sz w:val="28"/>
                <w:szCs w:val="28"/>
              </w:rPr>
              <w:t>方式和</w:t>
            </w:r>
            <w:r>
              <w:rPr>
                <w:rFonts w:ascii="FangSong_GB2312" w:hAnsi="FangSong_GB2312" w:eastAsia="FangSong_GB2312" w:cs="FangSong_GB2312"/>
                <w:sz w:val="28"/>
                <w:szCs w:val="28"/>
              </w:rPr>
              <w:t>地点</w:t>
            </w:r>
            <w:r>
              <w:rPr>
                <w:rFonts w:hint="eastAsia" w:ascii="FangSong_GB2312" w:hAnsi="FangSong_GB2312" w:eastAsia="FangSong_GB2312" w:cs="FangSong_GB2312"/>
                <w:sz w:val="28"/>
                <w:szCs w:val="28"/>
              </w:rPr>
              <w:t>按双方协商后确定</w:t>
            </w:r>
          </w:p>
        </w:tc>
      </w:tr>
    </w:tbl>
    <w:p>
      <w:pPr>
        <w:snapToGrid w:val="0"/>
        <w:spacing w:before="156" w:beforeLines="50" w:after="156" w:afterLines="50" w:line="480" w:lineRule="exact"/>
        <w:ind w:firstLine="567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hint="eastAsia" w:ascii="FangSong_GB2312" w:hAnsi="FangSong_GB2312" w:eastAsia="FangSong_GB2312" w:cs="FangSong_GB2312"/>
          <w:sz w:val="28"/>
          <w:szCs w:val="28"/>
        </w:rPr>
        <w:t>在南开研究学习期间的宿舍由南开大学提供，在理大研究学习期间由</w:t>
      </w:r>
      <w:r>
        <w:rPr>
          <w:rFonts w:ascii="FangSong_GB2312" w:hAnsi="FangSong_GB2312" w:eastAsia="FangSong_GB2312" w:cs="FangSong_GB2312"/>
          <w:sz w:val="28"/>
          <w:szCs w:val="28"/>
        </w:rPr>
        <w:t>理大提供协助，安排自费</w:t>
      </w:r>
      <w:r>
        <w:rPr>
          <w:rFonts w:hint="eastAsia" w:ascii="FangSong_GB2312" w:hAnsi="FangSong_GB2312" w:eastAsia="FangSong_GB2312" w:cs="FangSong_GB2312"/>
          <w:sz w:val="28"/>
          <w:szCs w:val="28"/>
        </w:rPr>
        <w:t>入住学校宿舍或在校外自费住宿。</w:t>
      </w:r>
    </w:p>
    <w:p>
      <w:pPr>
        <w:pStyle w:val="13"/>
        <w:numPr>
          <w:ilvl w:val="0"/>
          <w:numId w:val="0"/>
        </w:numPr>
        <w:spacing w:line="0" w:lineRule="atLeast"/>
        <w:ind w:leftChars="0"/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</w:pPr>
    </w:p>
    <w:p>
      <w:pPr>
        <w:pStyle w:val="13"/>
        <w:numPr>
          <w:ilvl w:val="0"/>
          <w:numId w:val="1"/>
        </w:numPr>
        <w:spacing w:line="0" w:lineRule="atLeast"/>
        <w:ind w:left="0" w:leftChars="0" w:firstLine="0" w:firstLineChars="0"/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  <w:t>申请资格</w:t>
      </w:r>
    </w:p>
    <w:p>
      <w:pPr>
        <w:pStyle w:val="13"/>
        <w:numPr>
          <w:ilvl w:val="0"/>
          <w:numId w:val="2"/>
        </w:numPr>
        <w:spacing w:line="0" w:lineRule="atLeast"/>
        <w:ind w:firstLine="560" w:firstLineChars="200"/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  <w:t>我校2021级全日制非定向博士研究生。每学年的招生名额不超过20人；</w:t>
      </w:r>
    </w:p>
    <w:p>
      <w:pPr>
        <w:pStyle w:val="13"/>
        <w:numPr>
          <w:ilvl w:val="0"/>
          <w:numId w:val="2"/>
        </w:numPr>
        <w:spacing w:line="0" w:lineRule="atLeast"/>
        <w:ind w:firstLine="560" w:firstLineChars="200"/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  <w:t>已修课程成绩符合要求；</w:t>
      </w:r>
    </w:p>
    <w:p>
      <w:pPr>
        <w:pStyle w:val="13"/>
        <w:numPr>
          <w:ilvl w:val="0"/>
          <w:numId w:val="2"/>
        </w:numPr>
        <w:spacing w:line="0" w:lineRule="atLeast"/>
        <w:ind w:firstLine="560" w:firstLineChars="200"/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  <w:t>达到香港理工大学规定的最低英文水平要求：取得(1)托福(TOEFL)笔试总成绩达 550 分/托福网考总成绩达 80 分，或(2)雅思国际英语水平测试(IELTS) 总评级达6.5。个别院系可订立更高要求，详情请参阅</w:t>
      </w:r>
      <w:r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  <w:fldChar w:fldCharType="begin"/>
      </w:r>
      <w:r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  <w:instrText xml:space="preserve"> HYPERLINK "http://www51.polyu.edu.hk/eprospectus/rpg%23programme-list" </w:instrText>
      </w:r>
      <w:r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  <w:fldChar w:fldCharType="separate"/>
      </w:r>
      <w:r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  <w:t>http://www51.polyu.edu.hk/eprospectus/rpg#programme-list</w:t>
      </w:r>
      <w:r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  <w:fldChar w:fldCharType="end"/>
      </w:r>
      <w:r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  <w:t>。</w:t>
      </w:r>
    </w:p>
    <w:p>
      <w:pPr>
        <w:pStyle w:val="13"/>
        <w:numPr>
          <w:ilvl w:val="0"/>
          <w:numId w:val="2"/>
        </w:numPr>
        <w:spacing w:line="0" w:lineRule="atLeast"/>
        <w:ind w:left="0" w:leftChars="0" w:firstLine="560" w:firstLineChars="200"/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  <w:t>托福和雅思成绩从考试日期算起有效期为两年, 成绩必须在提交申请时有效。</w:t>
      </w:r>
    </w:p>
    <w:p>
      <w:pPr>
        <w:pStyle w:val="13"/>
        <w:numPr>
          <w:ilvl w:val="0"/>
          <w:numId w:val="0"/>
        </w:numPr>
        <w:spacing w:line="0" w:lineRule="atLeast"/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</w:pPr>
    </w:p>
    <w:p>
      <w:pPr>
        <w:pStyle w:val="13"/>
        <w:numPr>
          <w:ilvl w:val="0"/>
          <w:numId w:val="1"/>
        </w:numPr>
        <w:spacing w:line="0" w:lineRule="atLeast"/>
        <w:ind w:left="0" w:leftChars="0" w:firstLine="0" w:firstLineChars="0"/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  <w:t>申请程序</w:t>
      </w:r>
    </w:p>
    <w:p>
      <w:pPr>
        <w:pStyle w:val="13"/>
        <w:numPr>
          <w:ilvl w:val="0"/>
          <w:numId w:val="0"/>
        </w:numPr>
        <w:spacing w:line="0" w:lineRule="atLeast"/>
        <w:ind w:firstLine="420" w:firstLineChars="0"/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  <w:t>请符合申请资格的同学仔细阅读申请流程，招生申请需经南开和理大导师、相关院系及研究团队负责人审核，申请人登入理大入学申请系统eAdmission以填妥网上申请及上传相关文件证明（</w:t>
      </w:r>
      <w:r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  <w:fldChar w:fldCharType="begin"/>
      </w:r>
      <w:r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  <w:instrText xml:space="preserve"> HYPERLINK "https://www38.polyu.edu.hk/eAdmission/index.do" </w:instrText>
      </w:r>
      <w:r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  <w:fldChar w:fldCharType="separate"/>
      </w:r>
      <w:r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  <w:t>https://www38.polyu.edu.hk/eAdmission/index.do</w:t>
      </w:r>
      <w:r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  <w:fldChar w:fldCharType="end"/>
      </w:r>
      <w:r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  <w:t>），详情请参阅 “香港理工大学联合培养博士研究生课程申请程序”。更多申请注意事项可查看</w:t>
      </w:r>
      <w:r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  <w:fldChar w:fldCharType="begin"/>
      </w:r>
      <w:r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  <w:instrText xml:space="preserve"> HYPERLINK "http://www51.polyu.edu.hk/eprospectus/rpg" </w:instrText>
      </w:r>
      <w:r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  <w:fldChar w:fldCharType="separate"/>
      </w:r>
      <w:r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  <w:t>http://www51.polyu.edu.hk/eprospectus/rpg</w:t>
      </w:r>
      <w:r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  <w:fldChar w:fldCharType="end"/>
      </w:r>
    </w:p>
    <w:p>
      <w:pPr>
        <w:pStyle w:val="13"/>
        <w:numPr>
          <w:ilvl w:val="0"/>
          <w:numId w:val="0"/>
        </w:numPr>
        <w:spacing w:line="0" w:lineRule="atLeast"/>
        <w:ind w:firstLine="420" w:firstLineChars="0"/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  <w:t>申请人需将以下材料</w:t>
      </w:r>
      <w:r>
        <w:rPr>
          <w:rFonts w:hint="eastAsia" w:ascii="FangSong_GB2312" w:hAnsi="FangSong_GB2312" w:eastAsia="FangSong_GB2312" w:cs="FangSong_GB2312"/>
          <w:b/>
          <w:bCs/>
          <w:color w:val="auto"/>
          <w:kern w:val="2"/>
          <w:sz w:val="28"/>
          <w:szCs w:val="28"/>
          <w:lang w:val="en-US" w:eastAsia="zh-CN" w:bidi="ar-SA"/>
        </w:rPr>
        <w:t>复印件</w:t>
      </w:r>
      <w:r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  <w:t>交至所在学院。由学院汇总后，于</w:t>
      </w:r>
      <w:r>
        <w:rPr>
          <w:rFonts w:hint="eastAsia" w:ascii="FangSong_GB2312" w:hAnsi="FangSong_GB2312" w:eastAsia="FangSong_GB2312" w:cs="FangSong_GB2312"/>
          <w:b/>
          <w:bCs/>
          <w:color w:val="auto"/>
          <w:kern w:val="2"/>
          <w:sz w:val="28"/>
          <w:szCs w:val="28"/>
          <w:u w:val="single"/>
          <w:lang w:val="en-US" w:eastAsia="zh-CN" w:bidi="ar-SA"/>
        </w:rPr>
        <w:t>2022年2月18日</w:t>
      </w:r>
      <w:r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  <w:t>前上报研究生院。具体包括：</w:t>
      </w:r>
    </w:p>
    <w:p>
      <w:pPr>
        <w:pStyle w:val="13"/>
        <w:numPr>
          <w:ilvl w:val="0"/>
          <w:numId w:val="3"/>
        </w:numPr>
        <w:spacing w:line="0" w:lineRule="atLeast"/>
        <w:ind w:firstLine="420" w:firstLineChars="0"/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  <w:t>本科及硕士 (如适用) 学位证、毕业证（中英文件）；</w:t>
      </w:r>
    </w:p>
    <w:p>
      <w:pPr>
        <w:pStyle w:val="13"/>
        <w:numPr>
          <w:ilvl w:val="0"/>
          <w:numId w:val="3"/>
        </w:numPr>
        <w:spacing w:line="0" w:lineRule="atLeast"/>
        <w:ind w:firstLine="420" w:firstLineChars="0"/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  <w:t>本科及硕士（如适用）成绩单 (中英文件)；</w:t>
      </w:r>
    </w:p>
    <w:p>
      <w:pPr>
        <w:pStyle w:val="13"/>
        <w:numPr>
          <w:ilvl w:val="0"/>
          <w:numId w:val="3"/>
        </w:numPr>
        <w:spacing w:line="0" w:lineRule="atLeast"/>
        <w:ind w:firstLine="420" w:firstLineChars="0"/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  <w:t>语言考试成绩单（托福或雅思，成绩必须在提交申请时有效）；</w:t>
      </w:r>
    </w:p>
    <w:p>
      <w:pPr>
        <w:pStyle w:val="13"/>
        <w:numPr>
          <w:ilvl w:val="0"/>
          <w:numId w:val="3"/>
        </w:numPr>
        <w:spacing w:line="0" w:lineRule="atLeast"/>
        <w:ind w:firstLine="420" w:firstLineChars="0"/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  <w:t>附件一 Research Proposal （研究计划）</w:t>
      </w:r>
    </w:p>
    <w:p>
      <w:pPr>
        <w:pStyle w:val="13"/>
        <w:numPr>
          <w:ilvl w:val="0"/>
          <w:numId w:val="3"/>
        </w:numPr>
        <w:spacing w:line="0" w:lineRule="atLeast"/>
        <w:ind w:firstLine="420" w:firstLineChars="0"/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  <w:t>附件二 《申请人名单》（电子版）</w:t>
      </w:r>
    </w:p>
    <w:p>
      <w:pPr>
        <w:pStyle w:val="13"/>
        <w:spacing w:line="0" w:lineRule="atLeast"/>
        <w:ind w:firstLine="480" w:firstLineChars="200"/>
        <w:rPr>
          <w:rFonts w:ascii="华文仿宋" w:hAnsi="华文仿宋" w:eastAsia="华文仿宋"/>
          <w:color w:val="auto"/>
        </w:rPr>
      </w:pPr>
    </w:p>
    <w:p>
      <w:pPr>
        <w:pStyle w:val="13"/>
        <w:numPr>
          <w:ilvl w:val="0"/>
          <w:numId w:val="1"/>
        </w:numPr>
        <w:spacing w:line="0" w:lineRule="atLeast"/>
        <w:ind w:left="0" w:leftChars="0" w:firstLine="0" w:firstLineChars="0"/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  <w:t>项目录取</w:t>
      </w:r>
    </w:p>
    <w:p>
      <w:pPr>
        <w:pStyle w:val="13"/>
        <w:numPr>
          <w:ilvl w:val="0"/>
          <w:numId w:val="0"/>
        </w:numPr>
        <w:spacing w:line="0" w:lineRule="atLeast"/>
        <w:ind w:firstLine="420" w:firstLineChars="0"/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  <w:t>两校将对申请人的材料进行审核并择优遴选。若有需要，亦会安排学生面试。录取结果将于 2022 年 6 月底前书面通知申请者。</w:t>
      </w:r>
    </w:p>
    <w:p>
      <w:pPr>
        <w:pStyle w:val="13"/>
        <w:numPr>
          <w:ilvl w:val="0"/>
          <w:numId w:val="0"/>
        </w:numPr>
        <w:spacing w:line="0" w:lineRule="atLeast"/>
        <w:ind w:firstLine="420" w:firstLineChars="0"/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</w:pPr>
    </w:p>
    <w:p>
      <w:pPr>
        <w:pStyle w:val="13"/>
        <w:numPr>
          <w:ilvl w:val="0"/>
          <w:numId w:val="1"/>
        </w:numPr>
        <w:spacing w:line="0" w:lineRule="atLeast"/>
        <w:ind w:left="0" w:leftChars="0" w:firstLine="0" w:firstLineChars="0"/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  <w:t>学位授予</w:t>
      </w:r>
    </w:p>
    <w:p>
      <w:pPr>
        <w:pStyle w:val="13"/>
        <w:numPr>
          <w:ilvl w:val="0"/>
          <w:numId w:val="0"/>
        </w:numPr>
        <w:spacing w:line="0" w:lineRule="atLeast"/>
        <w:ind w:firstLine="420" w:firstLineChars="0"/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  <w:t>联合培养博士研究生，符合南开大学博士学位授予条件，获颁南开大学博士研究生毕业证书和博士学位证书；符合理大博士学位授予条件，获颁理大博士学位证书。（注：理大颁发的学位证书将注明“此哲学博士学位由香港理工大学及南开大学合办”）。</w:t>
      </w:r>
    </w:p>
    <w:p>
      <w:pPr>
        <w:pStyle w:val="13"/>
        <w:numPr>
          <w:ilvl w:val="0"/>
          <w:numId w:val="0"/>
        </w:numPr>
        <w:spacing w:line="0" w:lineRule="atLeast"/>
        <w:ind w:firstLine="420" w:firstLineChars="0"/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</w:pPr>
    </w:p>
    <w:p>
      <w:pPr>
        <w:pStyle w:val="13"/>
        <w:numPr>
          <w:ilvl w:val="0"/>
          <w:numId w:val="1"/>
        </w:numPr>
        <w:spacing w:line="0" w:lineRule="atLeast"/>
        <w:ind w:left="0" w:leftChars="0" w:firstLine="0" w:firstLineChars="0"/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  <w:t>费用及奖学金说明</w:t>
      </w:r>
    </w:p>
    <w:p>
      <w:pPr>
        <w:pStyle w:val="13"/>
        <w:numPr>
          <w:ilvl w:val="0"/>
          <w:numId w:val="0"/>
        </w:numPr>
        <w:spacing w:line="0" w:lineRule="atLeast"/>
        <w:ind w:firstLine="420" w:firstLineChars="0"/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  <w:t>联合培养的博士研究生在南开大学学习期间，其学费及研究经费按照南开大学有关规定办理。学生在南开大学学习期间由南开大学发放津贴，理大停发奖学金。</w:t>
      </w:r>
    </w:p>
    <w:p>
      <w:pPr>
        <w:pStyle w:val="13"/>
        <w:numPr>
          <w:ilvl w:val="0"/>
          <w:numId w:val="0"/>
        </w:numPr>
        <w:spacing w:line="0" w:lineRule="atLeast"/>
        <w:ind w:firstLine="420" w:firstLineChars="0"/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  <w:t>在理大学习期间, 按理大有关规定缴纳学费。除了学费, 学生须支付其他费用包括考试费 (提交毕业论文时缴交)、延读学费 (于理大一般修读年期结束时仍未提交毕业论文, 学生须缴交此费用以延续其学业)。在理大学习时, 每名联合培养博士生均按照理</w:t>
      </w:r>
      <w:bookmarkStart w:id="0" w:name="_GoBack"/>
      <w:bookmarkEnd w:id="0"/>
      <w:r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  <w:t>大规定发放助学金。</w:t>
      </w:r>
    </w:p>
    <w:p>
      <w:pPr>
        <w:pStyle w:val="13"/>
        <w:numPr>
          <w:ilvl w:val="0"/>
          <w:numId w:val="0"/>
        </w:numPr>
        <w:spacing w:line="0" w:lineRule="atLeast"/>
        <w:ind w:firstLine="420" w:firstLineChars="0"/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</w:pPr>
    </w:p>
    <w:p>
      <w:pPr>
        <w:pStyle w:val="13"/>
        <w:numPr>
          <w:ilvl w:val="0"/>
          <w:numId w:val="1"/>
        </w:numPr>
        <w:spacing w:line="0" w:lineRule="atLeast"/>
        <w:ind w:left="0" w:leftChars="0" w:firstLine="0" w:firstLineChars="0"/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  <w:t>操作日程（注：此操作日程为暂定方案，如有变化，请以学校通知为准）</w:t>
      </w:r>
    </w:p>
    <w:tbl>
      <w:tblPr>
        <w:tblStyle w:val="6"/>
        <w:tblpPr w:leftFromText="180" w:rightFromText="180" w:vertAnchor="text" w:horzAnchor="page" w:tblpX="1411" w:tblpY="361"/>
        <w:tblOverlap w:val="never"/>
        <w:tblW w:w="98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3"/>
        <w:gridCol w:w="5547"/>
        <w:gridCol w:w="21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numPr>
                <w:ilvl w:val="0"/>
                <w:numId w:val="0"/>
              </w:numPr>
              <w:spacing w:line="0" w:lineRule="atLeast"/>
              <w:rPr>
                <w:rFonts w:hint="eastAsia" w:ascii="FangSong_GB2312" w:hAnsi="FangSong_GB2312" w:eastAsia="FangSong_GB2312" w:cs="FangSong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2"/>
                <w:sz w:val="28"/>
                <w:szCs w:val="28"/>
                <w:lang w:val="en-US" w:eastAsia="zh-CN" w:bidi="ar-SA"/>
              </w:rPr>
              <w:t>时间</w:t>
            </w:r>
          </w:p>
        </w:tc>
        <w:tc>
          <w:tcPr>
            <w:tcW w:w="5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numPr>
                <w:ilvl w:val="0"/>
                <w:numId w:val="0"/>
              </w:numPr>
              <w:spacing w:line="0" w:lineRule="atLeast"/>
              <w:rPr>
                <w:rFonts w:hint="eastAsia" w:ascii="FangSong_GB2312" w:hAnsi="FangSong_GB2312" w:eastAsia="FangSong_GB2312" w:cs="FangSong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2"/>
                <w:sz w:val="28"/>
                <w:szCs w:val="28"/>
                <w:lang w:val="en-US" w:eastAsia="zh-CN" w:bidi="ar-SA"/>
              </w:rPr>
              <w:t>工作内容</w:t>
            </w:r>
          </w:p>
        </w:tc>
        <w:tc>
          <w:tcPr>
            <w:tcW w:w="2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numPr>
                <w:ilvl w:val="0"/>
                <w:numId w:val="0"/>
              </w:numPr>
              <w:spacing w:line="0" w:lineRule="atLeast"/>
              <w:rPr>
                <w:rFonts w:hint="eastAsia" w:ascii="FangSong_GB2312" w:hAnsi="FangSong_GB2312" w:eastAsia="FangSong_GB2312" w:cs="FangSong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2"/>
                <w:sz w:val="28"/>
                <w:szCs w:val="28"/>
                <w:lang w:val="en-US" w:eastAsia="zh-CN" w:bidi="ar-SA"/>
              </w:rPr>
              <w:t>落实单位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numPr>
                <w:ilvl w:val="0"/>
                <w:numId w:val="0"/>
              </w:numPr>
              <w:spacing w:line="0" w:lineRule="atLeast"/>
              <w:rPr>
                <w:rFonts w:hint="eastAsia" w:ascii="FangSong_GB2312" w:hAnsi="FangSong_GB2312" w:eastAsia="FangSong_GB2312" w:cs="FangSong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2"/>
                <w:sz w:val="28"/>
                <w:szCs w:val="28"/>
                <w:lang w:val="en-US" w:eastAsia="zh-CN" w:bidi="ar-SA"/>
              </w:rPr>
              <w:t>2022.1</w:t>
            </w:r>
          </w:p>
        </w:tc>
        <w:tc>
          <w:tcPr>
            <w:tcW w:w="5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numPr>
                <w:ilvl w:val="0"/>
                <w:numId w:val="0"/>
              </w:numPr>
              <w:spacing w:line="0" w:lineRule="atLeast"/>
              <w:rPr>
                <w:rFonts w:hint="eastAsia" w:ascii="FangSong_GB2312" w:hAnsi="FangSong_GB2312" w:eastAsia="FangSong_GB2312" w:cs="FangSong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2"/>
                <w:sz w:val="28"/>
                <w:szCs w:val="28"/>
                <w:lang w:val="en-US" w:eastAsia="zh-CN" w:bidi="ar-SA"/>
              </w:rPr>
              <w:t>南开研究生院向学院发布招生实施办法</w:t>
            </w:r>
          </w:p>
        </w:tc>
        <w:tc>
          <w:tcPr>
            <w:tcW w:w="2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numPr>
                <w:ilvl w:val="0"/>
                <w:numId w:val="0"/>
              </w:numPr>
              <w:spacing w:line="0" w:lineRule="atLeast"/>
              <w:rPr>
                <w:rFonts w:hint="default" w:ascii="FangSong_GB2312" w:hAnsi="FangSong_GB2312" w:eastAsia="FangSong_GB2312" w:cs="FangSong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2"/>
                <w:sz w:val="28"/>
                <w:szCs w:val="28"/>
                <w:lang w:val="en-US" w:eastAsia="zh-CN" w:bidi="ar-SA"/>
              </w:rPr>
              <w:t>南开大学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numPr>
                <w:ilvl w:val="0"/>
                <w:numId w:val="0"/>
              </w:numPr>
              <w:spacing w:line="0" w:lineRule="atLeast"/>
              <w:rPr>
                <w:rFonts w:hint="eastAsia" w:ascii="FangSong_GB2312" w:hAnsi="FangSong_GB2312" w:eastAsia="FangSong_GB2312" w:cs="FangSong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2"/>
                <w:sz w:val="28"/>
                <w:szCs w:val="28"/>
                <w:lang w:val="en-US" w:eastAsia="zh-CN" w:bidi="ar-SA"/>
              </w:rPr>
              <w:t>2022.1-2022.2</w:t>
            </w:r>
          </w:p>
        </w:tc>
        <w:tc>
          <w:tcPr>
            <w:tcW w:w="5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numPr>
                <w:ilvl w:val="0"/>
                <w:numId w:val="0"/>
              </w:numPr>
              <w:spacing w:line="0" w:lineRule="atLeast"/>
              <w:rPr>
                <w:rFonts w:hint="eastAsia" w:ascii="FangSong_GB2312" w:hAnsi="FangSong_GB2312" w:eastAsia="FangSong_GB2312" w:cs="FangSong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2"/>
                <w:sz w:val="28"/>
                <w:szCs w:val="28"/>
                <w:lang w:val="en-US" w:eastAsia="zh-CN" w:bidi="ar-SA"/>
              </w:rPr>
              <w:t>学生联系理大导师、提交网申阶段</w:t>
            </w:r>
          </w:p>
        </w:tc>
        <w:tc>
          <w:tcPr>
            <w:tcW w:w="2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numPr>
                <w:ilvl w:val="0"/>
                <w:numId w:val="0"/>
              </w:numPr>
              <w:spacing w:line="0" w:lineRule="atLeast"/>
              <w:rPr>
                <w:rFonts w:hint="eastAsia" w:ascii="FangSong_GB2312" w:hAnsi="FangSong_GB2312" w:eastAsia="FangSong_GB2312" w:cs="FangSong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2"/>
                <w:sz w:val="28"/>
                <w:szCs w:val="28"/>
                <w:lang w:val="en-US" w:eastAsia="zh-CN" w:bidi="ar-SA"/>
              </w:rPr>
              <w:t>学生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numPr>
                <w:ilvl w:val="0"/>
                <w:numId w:val="0"/>
              </w:numPr>
              <w:spacing w:line="0" w:lineRule="atLeast"/>
              <w:rPr>
                <w:rFonts w:hint="default" w:ascii="FangSong_GB2312" w:hAnsi="FangSong_GB2312" w:eastAsia="FangSong_GB2312" w:cs="FangSong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2"/>
                <w:sz w:val="28"/>
                <w:szCs w:val="28"/>
                <w:lang w:val="en-US" w:eastAsia="zh-CN" w:bidi="ar-SA"/>
              </w:rPr>
              <w:t>2022.2.18</w:t>
            </w:r>
          </w:p>
        </w:tc>
        <w:tc>
          <w:tcPr>
            <w:tcW w:w="5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numPr>
                <w:ilvl w:val="0"/>
                <w:numId w:val="0"/>
              </w:numPr>
              <w:spacing w:line="0" w:lineRule="atLeast"/>
              <w:rPr>
                <w:rFonts w:hint="eastAsia" w:ascii="FangSong_GB2312" w:hAnsi="FangSong_GB2312" w:eastAsia="FangSong_GB2312" w:cs="FangSong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2"/>
                <w:sz w:val="28"/>
                <w:szCs w:val="28"/>
                <w:lang w:val="en-US" w:eastAsia="zh-CN" w:bidi="ar-SA"/>
              </w:rPr>
              <w:t>南开学院将汇总学生材料及名单上报给研究生院，进行学生申报材料的审核</w:t>
            </w:r>
          </w:p>
        </w:tc>
        <w:tc>
          <w:tcPr>
            <w:tcW w:w="2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numPr>
                <w:ilvl w:val="0"/>
                <w:numId w:val="0"/>
              </w:numPr>
              <w:spacing w:line="0" w:lineRule="atLeast"/>
              <w:rPr>
                <w:rFonts w:hint="eastAsia" w:ascii="FangSong_GB2312" w:hAnsi="FangSong_GB2312" w:eastAsia="FangSong_GB2312" w:cs="FangSong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2"/>
                <w:sz w:val="28"/>
                <w:szCs w:val="28"/>
                <w:lang w:val="en-US" w:eastAsia="zh-CN" w:bidi="ar-SA"/>
              </w:rPr>
              <w:t>南开大学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9594"/>
            <w:vAlign w:val="center"/>
          </w:tcPr>
          <w:p>
            <w:pPr>
              <w:pStyle w:val="13"/>
              <w:numPr>
                <w:ilvl w:val="0"/>
                <w:numId w:val="0"/>
              </w:numPr>
              <w:spacing w:line="0" w:lineRule="atLeast"/>
              <w:rPr>
                <w:rFonts w:hint="eastAsia" w:ascii="FangSong_GB2312" w:hAnsi="FangSong_GB2312" w:eastAsia="FangSong_GB2312" w:cs="FangSong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2"/>
                <w:sz w:val="28"/>
                <w:szCs w:val="28"/>
                <w:lang w:val="en-US" w:eastAsia="zh-CN" w:bidi="ar-SA"/>
              </w:rPr>
              <w:t>2022.2.28</w:t>
            </w:r>
          </w:p>
        </w:tc>
        <w:tc>
          <w:tcPr>
            <w:tcW w:w="5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9594"/>
            <w:vAlign w:val="center"/>
          </w:tcPr>
          <w:p>
            <w:pPr>
              <w:pStyle w:val="13"/>
              <w:numPr>
                <w:ilvl w:val="0"/>
                <w:numId w:val="0"/>
              </w:numPr>
              <w:spacing w:line="0" w:lineRule="atLeast"/>
              <w:rPr>
                <w:rFonts w:hint="eastAsia" w:ascii="FangSong_GB2312" w:hAnsi="FangSong_GB2312" w:eastAsia="FangSong_GB2312" w:cs="FangSong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2"/>
                <w:sz w:val="28"/>
                <w:szCs w:val="28"/>
                <w:lang w:val="en-US" w:eastAsia="zh-CN" w:bidi="ar-SA"/>
              </w:rPr>
              <w:t>网申截止！</w:t>
            </w:r>
          </w:p>
        </w:tc>
        <w:tc>
          <w:tcPr>
            <w:tcW w:w="2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9594"/>
            <w:vAlign w:val="center"/>
          </w:tcPr>
          <w:p>
            <w:pPr>
              <w:pStyle w:val="13"/>
              <w:numPr>
                <w:ilvl w:val="0"/>
                <w:numId w:val="0"/>
              </w:numPr>
              <w:spacing w:line="0" w:lineRule="atLeast"/>
              <w:rPr>
                <w:rFonts w:hint="eastAsia" w:ascii="FangSong_GB2312" w:hAnsi="FangSong_GB2312" w:eastAsia="FangSong_GB2312" w:cs="FangSong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2"/>
                <w:sz w:val="28"/>
                <w:szCs w:val="28"/>
                <w:lang w:val="en-US" w:eastAsia="zh-CN" w:bidi="ar-SA"/>
              </w:rPr>
              <w:t>学生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numPr>
                <w:ilvl w:val="0"/>
                <w:numId w:val="0"/>
              </w:numPr>
              <w:spacing w:line="0" w:lineRule="atLeast"/>
              <w:rPr>
                <w:rFonts w:hint="default" w:ascii="FangSong_GB2312" w:hAnsi="FangSong_GB2312" w:eastAsia="FangSong_GB2312" w:cs="FangSong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2"/>
                <w:sz w:val="28"/>
                <w:szCs w:val="28"/>
                <w:lang w:val="en-US" w:eastAsia="zh-CN" w:bidi="ar-SA"/>
              </w:rPr>
              <w:t>2022.3-5</w:t>
            </w:r>
          </w:p>
        </w:tc>
        <w:tc>
          <w:tcPr>
            <w:tcW w:w="5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numPr>
                <w:ilvl w:val="0"/>
                <w:numId w:val="0"/>
              </w:numPr>
              <w:spacing w:line="0" w:lineRule="atLeast"/>
              <w:rPr>
                <w:rFonts w:hint="eastAsia" w:ascii="FangSong_GB2312" w:hAnsi="FangSong_GB2312" w:eastAsia="FangSong_GB2312" w:cs="FangSong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2"/>
                <w:sz w:val="28"/>
                <w:szCs w:val="28"/>
                <w:lang w:val="en-US" w:eastAsia="zh-CN" w:bidi="ar-SA"/>
              </w:rPr>
              <w:t>理大审核申请材料，向符合条件的申请人发放录取通知。</w:t>
            </w:r>
          </w:p>
          <w:p>
            <w:pPr>
              <w:pStyle w:val="13"/>
              <w:numPr>
                <w:ilvl w:val="0"/>
                <w:numId w:val="0"/>
              </w:numPr>
              <w:spacing w:line="0" w:lineRule="atLeast"/>
              <w:rPr>
                <w:rFonts w:hint="default" w:ascii="FangSong_GB2312" w:hAnsi="FangSong_GB2312" w:eastAsia="FangSong_GB2312" w:cs="FangSong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2"/>
                <w:sz w:val="28"/>
                <w:szCs w:val="28"/>
                <w:lang w:val="en-US" w:eastAsia="zh-CN" w:bidi="ar-SA"/>
              </w:rPr>
              <w:t>获得录取的申请人需完成以下手续：在录取通知书规定的缴费期限前通过eAdmission确认接受录取并结算报名费；填妥的签证申请表，连同所需的证明文件，在收到录取通知书或有条件录取通知书后十个工作日内，通过理大教务处递交香港入境事务处。 申请学生签证指南可从网上的录取通知下载。  </w:t>
            </w:r>
          </w:p>
        </w:tc>
        <w:tc>
          <w:tcPr>
            <w:tcW w:w="2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numPr>
                <w:ilvl w:val="0"/>
                <w:numId w:val="0"/>
              </w:numPr>
              <w:spacing w:line="0" w:lineRule="atLeast"/>
              <w:rPr>
                <w:rFonts w:hint="default" w:ascii="FangSong_GB2312" w:hAnsi="FangSong_GB2312" w:eastAsia="FangSong_GB2312" w:cs="FangSong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2"/>
                <w:sz w:val="28"/>
                <w:szCs w:val="28"/>
                <w:lang w:val="en-US" w:eastAsia="zh-CN" w:bidi="ar-SA"/>
              </w:rPr>
              <w:t>学生、理大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numPr>
                <w:ilvl w:val="0"/>
                <w:numId w:val="0"/>
              </w:numPr>
              <w:spacing w:line="0" w:lineRule="atLeast"/>
              <w:rPr>
                <w:rFonts w:hint="default" w:ascii="FangSong_GB2312" w:hAnsi="FangSong_GB2312" w:eastAsia="FangSong_GB2312" w:cs="FangSong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2"/>
                <w:sz w:val="28"/>
                <w:szCs w:val="28"/>
                <w:lang w:val="en-US" w:eastAsia="zh-CN" w:bidi="ar-SA"/>
              </w:rPr>
              <w:t>2022.6-8</w:t>
            </w:r>
          </w:p>
        </w:tc>
        <w:tc>
          <w:tcPr>
            <w:tcW w:w="5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numPr>
                <w:ilvl w:val="0"/>
                <w:numId w:val="0"/>
              </w:numPr>
              <w:spacing w:line="0" w:lineRule="atLeast"/>
              <w:rPr>
                <w:rFonts w:hint="eastAsia" w:ascii="FangSong_GB2312" w:hAnsi="FangSong_GB2312" w:eastAsia="FangSong_GB2312" w:cs="FangSong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2"/>
                <w:sz w:val="28"/>
                <w:szCs w:val="28"/>
                <w:lang w:val="en-US" w:eastAsia="zh-CN" w:bidi="ar-SA"/>
              </w:rPr>
              <w:t>获录取的学生将通过理大教务处的特快专递，收到香港入境事务处签发的签注 </w:t>
            </w:r>
          </w:p>
        </w:tc>
        <w:tc>
          <w:tcPr>
            <w:tcW w:w="2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numPr>
                <w:ilvl w:val="0"/>
                <w:numId w:val="0"/>
              </w:numPr>
              <w:spacing w:line="0" w:lineRule="atLeast"/>
              <w:rPr>
                <w:rFonts w:hint="default" w:ascii="FangSong_GB2312" w:hAnsi="FangSong_GB2312" w:eastAsia="FangSong_GB2312" w:cs="FangSong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2"/>
                <w:sz w:val="28"/>
                <w:szCs w:val="28"/>
                <w:lang w:val="en-US" w:eastAsia="zh-CN" w:bidi="ar-SA"/>
              </w:rPr>
              <w:t>学生、理大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numPr>
                <w:ilvl w:val="0"/>
                <w:numId w:val="0"/>
              </w:numPr>
              <w:spacing w:line="0" w:lineRule="atLeast"/>
              <w:rPr>
                <w:rFonts w:hint="default" w:ascii="FangSong_GB2312" w:hAnsi="FangSong_GB2312" w:eastAsia="FangSong_GB2312" w:cs="FangSong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2"/>
                <w:sz w:val="28"/>
                <w:szCs w:val="28"/>
                <w:lang w:val="en-US" w:eastAsia="zh-CN" w:bidi="ar-SA"/>
              </w:rPr>
              <w:t>2022.8.1-8.28</w:t>
            </w:r>
          </w:p>
        </w:tc>
        <w:tc>
          <w:tcPr>
            <w:tcW w:w="5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numPr>
                <w:ilvl w:val="0"/>
                <w:numId w:val="0"/>
              </w:numPr>
              <w:spacing w:line="0" w:lineRule="atLeast"/>
              <w:rPr>
                <w:rFonts w:hint="eastAsia" w:ascii="FangSong_GB2312" w:hAnsi="FangSong_GB2312" w:eastAsia="FangSong_GB2312" w:cs="FangSong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2"/>
                <w:sz w:val="28"/>
                <w:szCs w:val="28"/>
                <w:lang w:val="en-US" w:eastAsia="zh-CN" w:bidi="ar-SA"/>
              </w:rPr>
              <w:t>获录取学生可按网上录取通知书上的指示进行网上课程注册</w:t>
            </w:r>
          </w:p>
        </w:tc>
        <w:tc>
          <w:tcPr>
            <w:tcW w:w="2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numPr>
                <w:ilvl w:val="0"/>
                <w:numId w:val="0"/>
              </w:numPr>
              <w:spacing w:line="0" w:lineRule="atLeast"/>
              <w:rPr>
                <w:rFonts w:hint="default" w:ascii="FangSong_GB2312" w:hAnsi="FangSong_GB2312" w:eastAsia="FangSong_GB2312" w:cs="FangSong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2"/>
                <w:sz w:val="28"/>
                <w:szCs w:val="28"/>
                <w:lang w:val="en-US" w:eastAsia="zh-CN" w:bidi="ar-SA"/>
              </w:rPr>
              <w:t>学生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numPr>
                <w:ilvl w:val="0"/>
                <w:numId w:val="0"/>
              </w:numPr>
              <w:spacing w:line="0" w:lineRule="atLeast"/>
              <w:rPr>
                <w:rFonts w:hint="default" w:ascii="FangSong_GB2312" w:hAnsi="FangSong_GB2312" w:eastAsia="FangSong_GB2312" w:cs="FangSong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2"/>
                <w:sz w:val="28"/>
                <w:szCs w:val="28"/>
                <w:lang w:val="en-US" w:eastAsia="zh-CN" w:bidi="ar-SA"/>
              </w:rPr>
              <w:t>2022.8.29</w:t>
            </w:r>
          </w:p>
        </w:tc>
        <w:tc>
          <w:tcPr>
            <w:tcW w:w="5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numPr>
                <w:ilvl w:val="0"/>
                <w:numId w:val="0"/>
              </w:numPr>
              <w:spacing w:line="0" w:lineRule="atLeast"/>
              <w:rPr>
                <w:rFonts w:hint="default" w:ascii="FangSong_GB2312" w:hAnsi="FangSong_GB2312" w:eastAsia="FangSong_GB2312" w:cs="FangSong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2"/>
                <w:sz w:val="28"/>
                <w:szCs w:val="28"/>
                <w:lang w:val="en-US" w:eastAsia="zh-CN" w:bidi="ar-SA"/>
              </w:rPr>
              <w:t>2022/23学年开始，新生向理大报道</w:t>
            </w:r>
          </w:p>
        </w:tc>
        <w:tc>
          <w:tcPr>
            <w:tcW w:w="2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numPr>
                <w:ilvl w:val="0"/>
                <w:numId w:val="0"/>
              </w:numPr>
              <w:spacing w:line="0" w:lineRule="atLeast"/>
              <w:rPr>
                <w:rFonts w:hint="default" w:ascii="FangSong_GB2312" w:hAnsi="FangSong_GB2312" w:eastAsia="FangSong_GB2312" w:cs="FangSong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2"/>
                <w:sz w:val="28"/>
                <w:szCs w:val="28"/>
                <w:lang w:val="en-US" w:eastAsia="zh-CN" w:bidi="ar-SA"/>
              </w:rPr>
              <w:t>学生、理大</w:t>
            </w:r>
          </w:p>
        </w:tc>
      </w:tr>
    </w:tbl>
    <w:p>
      <w:pPr>
        <w:pStyle w:val="13"/>
        <w:numPr>
          <w:ilvl w:val="0"/>
          <w:numId w:val="0"/>
        </w:numPr>
        <w:spacing w:line="0" w:lineRule="atLeast"/>
        <w:ind w:firstLine="420" w:firstLineChars="0"/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</w:pPr>
    </w:p>
    <w:p>
      <w:pPr>
        <w:pStyle w:val="13"/>
        <w:spacing w:line="0" w:lineRule="atLeast"/>
        <w:rPr>
          <w:rFonts w:ascii="华文仿宋" w:hAnsi="华文仿宋" w:eastAsia="华文仿宋"/>
        </w:rPr>
      </w:pPr>
    </w:p>
    <w:p>
      <w:pPr>
        <w:pStyle w:val="13"/>
        <w:spacing w:line="0" w:lineRule="atLeast"/>
        <w:rPr>
          <w:rFonts w:ascii="华文仿宋" w:hAnsi="华文仿宋" w:eastAsia="华文仿宋"/>
        </w:rPr>
      </w:pPr>
    </w:p>
    <w:p>
      <w:pPr>
        <w:pStyle w:val="13"/>
        <w:spacing w:line="0" w:lineRule="atLeast"/>
        <w:rPr>
          <w:rFonts w:ascii="华文仿宋" w:hAnsi="华文仿宋" w:eastAsia="华文仿宋"/>
        </w:rPr>
      </w:pPr>
    </w:p>
    <w:p>
      <w:pPr>
        <w:pStyle w:val="13"/>
        <w:numPr>
          <w:ilvl w:val="0"/>
          <w:numId w:val="0"/>
        </w:numPr>
        <w:spacing w:line="0" w:lineRule="atLeast"/>
        <w:jc w:val="right"/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  <w:t>研究生院</w:t>
      </w:r>
    </w:p>
    <w:p>
      <w:pPr>
        <w:pStyle w:val="13"/>
        <w:numPr>
          <w:ilvl w:val="0"/>
          <w:numId w:val="0"/>
        </w:numPr>
        <w:spacing w:line="0" w:lineRule="atLeast"/>
        <w:jc w:val="right"/>
        <w:rPr>
          <w:rFonts w:hint="default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FangSong_GB2312" w:hAnsi="FangSong_GB2312" w:eastAsia="FangSong_GB2312" w:cs="FangSong_GB2312"/>
          <w:color w:val="auto"/>
          <w:kern w:val="2"/>
          <w:sz w:val="28"/>
          <w:szCs w:val="28"/>
          <w:lang w:val="en-US" w:eastAsia="zh-CN" w:bidi="ar-SA"/>
        </w:rPr>
        <w:t xml:space="preserve">                            2022年1月</w:t>
      </w:r>
    </w:p>
    <w:sectPr>
      <w:footerReference r:id="rId3" w:type="default"/>
      <w:pgSz w:w="11906" w:h="16838"/>
      <w:pgMar w:top="1440" w:right="1416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FangSong_GB2312">
    <w:altName w:val="仿宋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896263451"/>
      <w:docPartObj>
        <w:docPartGallery w:val="autotext"/>
      </w:docPartObj>
    </w:sdtPr>
    <w:sdtContent>
      <w:p>
        <w:pPr>
          <w:pStyle w:val="4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4</w:t>
        </w:r>
        <w:r>
          <w:rPr>
            <w:lang w:val="zh-CN"/>
          </w:rPr>
          <w:fldChar w:fldCharType="end"/>
        </w:r>
      </w:p>
    </w:sdtContent>
  </w:sdt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B515552"/>
    <w:multiLevelType w:val="singleLevel"/>
    <w:tmpl w:val="8B515552"/>
    <w:lvl w:ilvl="0" w:tentative="0">
      <w:start w:val="1"/>
      <w:numFmt w:val="chineseCounting"/>
      <w:suff w:val="space"/>
      <w:lvlText w:val="%1、"/>
      <w:lvlJc w:val="left"/>
      <w:rPr>
        <w:rFonts w:hint="eastAsia"/>
      </w:rPr>
    </w:lvl>
  </w:abstractNum>
  <w:abstractNum w:abstractNumId="1">
    <w:nsid w:val="02FB71F7"/>
    <w:multiLevelType w:val="singleLevel"/>
    <w:tmpl w:val="02FB71F7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0FA2A32C"/>
    <w:multiLevelType w:val="singleLevel"/>
    <w:tmpl w:val="0FA2A32C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172A27"/>
    <w:rsid w:val="00001F05"/>
    <w:rsid w:val="00024FFE"/>
    <w:rsid w:val="0005780D"/>
    <w:rsid w:val="00092890"/>
    <w:rsid w:val="000A7263"/>
    <w:rsid w:val="000E38CF"/>
    <w:rsid w:val="0013492F"/>
    <w:rsid w:val="001457D8"/>
    <w:rsid w:val="00190CD7"/>
    <w:rsid w:val="0019269C"/>
    <w:rsid w:val="001A271B"/>
    <w:rsid w:val="00214615"/>
    <w:rsid w:val="00257EC6"/>
    <w:rsid w:val="00287A93"/>
    <w:rsid w:val="002A073D"/>
    <w:rsid w:val="002A5CF6"/>
    <w:rsid w:val="002A6256"/>
    <w:rsid w:val="002D7A54"/>
    <w:rsid w:val="0030751F"/>
    <w:rsid w:val="0030763A"/>
    <w:rsid w:val="00343E84"/>
    <w:rsid w:val="00381D0E"/>
    <w:rsid w:val="00391983"/>
    <w:rsid w:val="003B26E1"/>
    <w:rsid w:val="003B433C"/>
    <w:rsid w:val="003D6C6D"/>
    <w:rsid w:val="0042543A"/>
    <w:rsid w:val="0042696F"/>
    <w:rsid w:val="0046062C"/>
    <w:rsid w:val="00462C0A"/>
    <w:rsid w:val="00462D61"/>
    <w:rsid w:val="00467B33"/>
    <w:rsid w:val="0047647E"/>
    <w:rsid w:val="004A7D99"/>
    <w:rsid w:val="004C6A55"/>
    <w:rsid w:val="004E77D3"/>
    <w:rsid w:val="00520916"/>
    <w:rsid w:val="005534A1"/>
    <w:rsid w:val="00593A51"/>
    <w:rsid w:val="00596E4E"/>
    <w:rsid w:val="005C2E55"/>
    <w:rsid w:val="005C418B"/>
    <w:rsid w:val="005D13F0"/>
    <w:rsid w:val="005D26B0"/>
    <w:rsid w:val="005D5010"/>
    <w:rsid w:val="005D5EEB"/>
    <w:rsid w:val="005F5169"/>
    <w:rsid w:val="00602EDB"/>
    <w:rsid w:val="00625BFE"/>
    <w:rsid w:val="0066600E"/>
    <w:rsid w:val="0069567C"/>
    <w:rsid w:val="006D6805"/>
    <w:rsid w:val="006E3A92"/>
    <w:rsid w:val="006E4E6E"/>
    <w:rsid w:val="006E7A1B"/>
    <w:rsid w:val="006F0FB6"/>
    <w:rsid w:val="006F4E35"/>
    <w:rsid w:val="006F6845"/>
    <w:rsid w:val="007011B5"/>
    <w:rsid w:val="00737528"/>
    <w:rsid w:val="00740C52"/>
    <w:rsid w:val="0075107B"/>
    <w:rsid w:val="007536A4"/>
    <w:rsid w:val="00762824"/>
    <w:rsid w:val="00772857"/>
    <w:rsid w:val="00782F04"/>
    <w:rsid w:val="007B57B2"/>
    <w:rsid w:val="007D3BB8"/>
    <w:rsid w:val="007E0DB3"/>
    <w:rsid w:val="007E7878"/>
    <w:rsid w:val="007F0665"/>
    <w:rsid w:val="007F1959"/>
    <w:rsid w:val="007F3199"/>
    <w:rsid w:val="008332E6"/>
    <w:rsid w:val="00845EDC"/>
    <w:rsid w:val="00846648"/>
    <w:rsid w:val="008763CA"/>
    <w:rsid w:val="0089577C"/>
    <w:rsid w:val="008A0216"/>
    <w:rsid w:val="008A64A5"/>
    <w:rsid w:val="008B1235"/>
    <w:rsid w:val="008B7598"/>
    <w:rsid w:val="008B7CDF"/>
    <w:rsid w:val="008F03CC"/>
    <w:rsid w:val="00903D86"/>
    <w:rsid w:val="009574B4"/>
    <w:rsid w:val="0097416B"/>
    <w:rsid w:val="00985408"/>
    <w:rsid w:val="0098713A"/>
    <w:rsid w:val="009A68D7"/>
    <w:rsid w:val="009B459B"/>
    <w:rsid w:val="009D1A81"/>
    <w:rsid w:val="009D2347"/>
    <w:rsid w:val="009D397A"/>
    <w:rsid w:val="009E34AE"/>
    <w:rsid w:val="009E6562"/>
    <w:rsid w:val="009F7546"/>
    <w:rsid w:val="00A31914"/>
    <w:rsid w:val="00AB3443"/>
    <w:rsid w:val="00AC7F02"/>
    <w:rsid w:val="00AE424A"/>
    <w:rsid w:val="00AE584B"/>
    <w:rsid w:val="00B006A5"/>
    <w:rsid w:val="00B27C8E"/>
    <w:rsid w:val="00B52BE9"/>
    <w:rsid w:val="00B53732"/>
    <w:rsid w:val="00B8448E"/>
    <w:rsid w:val="00B868FF"/>
    <w:rsid w:val="00B9643D"/>
    <w:rsid w:val="00BB3FB6"/>
    <w:rsid w:val="00BC1DD0"/>
    <w:rsid w:val="00BF2158"/>
    <w:rsid w:val="00C072F5"/>
    <w:rsid w:val="00C105B6"/>
    <w:rsid w:val="00C61D01"/>
    <w:rsid w:val="00C673AA"/>
    <w:rsid w:val="00C70321"/>
    <w:rsid w:val="00C83E5E"/>
    <w:rsid w:val="00CA3C72"/>
    <w:rsid w:val="00CC47BA"/>
    <w:rsid w:val="00CD7EE8"/>
    <w:rsid w:val="00CE1C3D"/>
    <w:rsid w:val="00CF09E8"/>
    <w:rsid w:val="00D107C1"/>
    <w:rsid w:val="00D15676"/>
    <w:rsid w:val="00D21F38"/>
    <w:rsid w:val="00D36B41"/>
    <w:rsid w:val="00D60C25"/>
    <w:rsid w:val="00D61510"/>
    <w:rsid w:val="00D7495E"/>
    <w:rsid w:val="00D85711"/>
    <w:rsid w:val="00D90A2A"/>
    <w:rsid w:val="00DA5949"/>
    <w:rsid w:val="00DD5991"/>
    <w:rsid w:val="00E0072A"/>
    <w:rsid w:val="00E437B3"/>
    <w:rsid w:val="00E72C66"/>
    <w:rsid w:val="00E85EB0"/>
    <w:rsid w:val="00E9324B"/>
    <w:rsid w:val="00E9663C"/>
    <w:rsid w:val="00EE1668"/>
    <w:rsid w:val="00F028AE"/>
    <w:rsid w:val="00F043EB"/>
    <w:rsid w:val="00F14A07"/>
    <w:rsid w:val="00F22337"/>
    <w:rsid w:val="00F51094"/>
    <w:rsid w:val="00F549D7"/>
    <w:rsid w:val="00F642E5"/>
    <w:rsid w:val="00FA251D"/>
    <w:rsid w:val="00FE03C4"/>
    <w:rsid w:val="03984646"/>
    <w:rsid w:val="0668411F"/>
    <w:rsid w:val="10562362"/>
    <w:rsid w:val="15D61B12"/>
    <w:rsid w:val="177842C7"/>
    <w:rsid w:val="1B3C5743"/>
    <w:rsid w:val="1E5F0B77"/>
    <w:rsid w:val="1EAF683B"/>
    <w:rsid w:val="23FE2045"/>
    <w:rsid w:val="247E00CF"/>
    <w:rsid w:val="2CF310A6"/>
    <w:rsid w:val="3261079E"/>
    <w:rsid w:val="35DF6603"/>
    <w:rsid w:val="51D05429"/>
    <w:rsid w:val="6DE54372"/>
    <w:rsid w:val="706C63AF"/>
    <w:rsid w:val="73D7468E"/>
    <w:rsid w:val="77BA389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6"/>
    <w:semiHidden/>
    <w:unhideWhenUsed/>
    <w:uiPriority w:val="99"/>
    <w:pPr>
      <w:jc w:val="left"/>
    </w:pPr>
  </w:style>
  <w:style w:type="paragraph" w:styleId="3">
    <w:name w:val="Balloon Text"/>
    <w:basedOn w:val="1"/>
    <w:link w:val="12"/>
    <w:semiHidden/>
    <w:unhideWhenUsed/>
    <w:uiPriority w:val="99"/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FollowedHyperlink"/>
    <w:basedOn w:val="8"/>
    <w:semiHidden/>
    <w:unhideWhenUsed/>
    <w:qFormat/>
    <w:uiPriority w:val="99"/>
    <w:rPr>
      <w:color w:val="800080" w:themeColor="followedHyperlink"/>
      <w:u w:val="single"/>
    </w:rPr>
  </w:style>
  <w:style w:type="character" w:styleId="10">
    <w:name w:val="Hyperlink"/>
    <w:basedOn w:val="8"/>
    <w:unhideWhenUsed/>
    <w:qFormat/>
    <w:uiPriority w:val="99"/>
    <w:rPr>
      <w:color w:val="0000FF" w:themeColor="hyperlink"/>
      <w:u w:val="single"/>
    </w:rPr>
  </w:style>
  <w:style w:type="character" w:styleId="11">
    <w:name w:val="annotation reference"/>
    <w:semiHidden/>
    <w:unhideWhenUsed/>
    <w:qFormat/>
    <w:uiPriority w:val="99"/>
    <w:rPr>
      <w:sz w:val="16"/>
      <w:szCs w:val="16"/>
    </w:rPr>
  </w:style>
  <w:style w:type="character" w:customStyle="1" w:styleId="12">
    <w:name w:val="批注框文本 Char"/>
    <w:basedOn w:val="8"/>
    <w:link w:val="3"/>
    <w:semiHidden/>
    <w:qFormat/>
    <w:uiPriority w:val="99"/>
    <w:rPr>
      <w:sz w:val="18"/>
      <w:szCs w:val="18"/>
    </w:rPr>
  </w:style>
  <w:style w:type="paragraph" w:customStyle="1" w:styleId="13">
    <w:name w:val="Default"/>
    <w:qFormat/>
    <w:uiPriority w:val="0"/>
    <w:pPr>
      <w:widowControl w:val="0"/>
      <w:autoSpaceDE w:val="0"/>
      <w:autoSpaceDN w:val="0"/>
      <w:adjustRightInd w:val="0"/>
    </w:pPr>
    <w:rPr>
      <w:rFonts w:ascii="微软雅黑" w:eastAsia="微软雅黑" w:cs="微软雅黑" w:hAnsiTheme="minorHAnsi"/>
      <w:color w:val="000000"/>
      <w:kern w:val="0"/>
      <w:sz w:val="24"/>
      <w:szCs w:val="24"/>
      <w:lang w:val="en-US" w:eastAsia="zh-CN" w:bidi="ar-SA"/>
    </w:rPr>
  </w:style>
  <w:style w:type="character" w:customStyle="1" w:styleId="14">
    <w:name w:val="页眉 Char"/>
    <w:basedOn w:val="8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页脚 Char"/>
    <w:basedOn w:val="8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批注文字 Char"/>
    <w:basedOn w:val="8"/>
    <w:link w:val="2"/>
    <w:semiHidden/>
    <w:uiPriority w:val="99"/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4</Pages>
  <Words>347</Words>
  <Characters>1983</Characters>
  <Lines>16</Lines>
  <Paragraphs>4</Paragraphs>
  <TotalTime>29</TotalTime>
  <ScaleCrop>false</ScaleCrop>
  <LinksUpToDate>false</LinksUpToDate>
  <CharactersWithSpaces>2326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2018-10-15T06:50:00Z</dcterms:created>
  <dc:creator>User</dc:creator>
  <cp:lastModifiedBy>licj</cp:lastModifiedBy>
  <dcterms:modified xsi:type="dcterms:W3CDTF">2022-01-04T02:37:37Z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834AAB3089224064879705E5DDC6354C</vt:lpwstr>
  </property>
</Properties>
</file>